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0" w:rsidRPr="00B8382D" w:rsidRDefault="003577E0" w:rsidP="003577E0">
      <w:pPr>
        <w:jc w:val="center"/>
      </w:pPr>
      <w:r>
        <w:rPr>
          <w:noProof/>
          <w:lang w:eastAsia="fr-FR"/>
        </w:rPr>
        <w:drawing>
          <wp:inline distT="0" distB="0" distL="0" distR="0">
            <wp:extent cx="3007360" cy="1002665"/>
            <wp:effectExtent l="0" t="0" r="254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b="23914"/>
                    <a:stretch>
                      <a:fillRect/>
                    </a:stretch>
                  </pic:blipFill>
                  <pic:spPr bwMode="auto">
                    <a:xfrm>
                      <a:off x="0" y="0"/>
                      <a:ext cx="3007360" cy="1002665"/>
                    </a:xfrm>
                    <a:prstGeom prst="rect">
                      <a:avLst/>
                    </a:prstGeom>
                    <a:noFill/>
                    <a:ln>
                      <a:noFill/>
                    </a:ln>
                  </pic:spPr>
                </pic:pic>
              </a:graphicData>
            </a:graphic>
          </wp:inline>
        </w:drawing>
      </w:r>
    </w:p>
    <w:p w:rsidR="003577E0" w:rsidRPr="00B8382D" w:rsidRDefault="003577E0" w:rsidP="003577E0">
      <w:pPr>
        <w:jc w:val="center"/>
      </w:pPr>
    </w:p>
    <w:p w:rsidR="003577E0" w:rsidRPr="00B8382D" w:rsidRDefault="003577E0" w:rsidP="003577E0">
      <w:pPr>
        <w:pStyle w:val="En-tte"/>
        <w:jc w:val="left"/>
        <w:rPr>
          <w:sz w:val="24"/>
        </w:rPr>
      </w:pPr>
      <w:r w:rsidRPr="00B8382D">
        <w:rPr>
          <w:sz w:val="24"/>
        </w:rPr>
        <w:t>MASTER 2 – Communication politique et institutionnelle</w:t>
      </w:r>
    </w:p>
    <w:p w:rsidR="003577E0" w:rsidRPr="00B8382D" w:rsidRDefault="003577E0" w:rsidP="003577E0">
      <w:pPr>
        <w:jc w:val="center"/>
      </w:pPr>
    </w:p>
    <w:p w:rsidR="003577E0" w:rsidRPr="00B8382D" w:rsidRDefault="003577E0" w:rsidP="003577E0">
      <w:pPr>
        <w:jc w:val="right"/>
      </w:pPr>
      <w:r w:rsidRPr="00B8382D">
        <w:t>2016</w:t>
      </w:r>
    </w:p>
    <w:p w:rsidR="003577E0" w:rsidRPr="00B8382D" w:rsidRDefault="003577E0" w:rsidP="003577E0">
      <w:pPr>
        <w:jc w:val="center"/>
        <w:rPr>
          <w:rFonts w:ascii="Garamond" w:hAnsi="Garamond"/>
          <w:b/>
          <w:sz w:val="36"/>
          <w:szCs w:val="22"/>
        </w:rPr>
      </w:pPr>
      <w:r w:rsidRPr="00B8382D">
        <w:t>Droit des élections, droit du financement de la communication politique</w:t>
      </w:r>
    </w:p>
    <w:p w:rsidR="00B90C01" w:rsidRDefault="00B90C01" w:rsidP="00B90C01"/>
    <w:p w:rsidR="00B90C01" w:rsidRDefault="00B90C01" w:rsidP="00B90C01">
      <w:hyperlink r:id="rId7" w:history="1">
        <w:r w:rsidRPr="006C0750">
          <w:rPr>
            <w:rStyle w:val="Lienhypertexte"/>
          </w:rPr>
          <w:t>https://www.cnil.fr/sites/default/files/typo/document/CNIL_Politique.pdf</w:t>
        </w:r>
      </w:hyperlink>
      <w:r>
        <w:t xml:space="preserve"> </w:t>
      </w:r>
      <w:bookmarkStart w:id="0" w:name="_GoBack"/>
      <w:bookmarkEnd w:id="0"/>
    </w:p>
    <w:p w:rsidR="00B90C01" w:rsidRDefault="00B90C01" w:rsidP="00B90C01">
      <w:hyperlink r:id="rId8" w:tgtFrame="_blank" w:tooltip="CNIL_Politique.pdf" w:history="1">
        <w:r>
          <w:rPr>
            <w:rStyle w:val="Lienhypertexte"/>
          </w:rPr>
          <w:t>Communication politique : obligations légales et bonnes pratiques</w:t>
        </w:r>
      </w:hyperlink>
    </w:p>
    <w:p w:rsidR="00B90C01" w:rsidRDefault="00B90C01" w:rsidP="00B90C01">
      <w:r>
        <w:t>Les guides de la CNIL</w:t>
      </w:r>
      <w:r>
        <w:t>, 2012</w:t>
      </w:r>
    </w:p>
    <w:p w:rsidR="00B90C01" w:rsidRPr="00B90C01" w:rsidRDefault="00B90C01" w:rsidP="00B90C01"/>
    <w:p w:rsidR="000D1320" w:rsidRDefault="000D1320" w:rsidP="000D1320">
      <w:pPr>
        <w:pStyle w:val="Titre1"/>
      </w:pPr>
      <w:r>
        <w:t>Municipales 2014 -La communication institutionnelle en période préélectorale -Analyse</w:t>
      </w:r>
    </w:p>
    <w:p w:rsidR="000D1320" w:rsidRDefault="000D1320" w:rsidP="000D1320">
      <w:hyperlink r:id="rId9" w:history="1">
        <w:r w:rsidRPr="006C0750">
          <w:rPr>
            <w:rStyle w:val="Lienhypertexte"/>
          </w:rPr>
          <w:t>http://www.courrierdesmaires.fr/8755/municipales-2014-la-communication-institutionnelle-en-periode-preelectorale-analyse/</w:t>
        </w:r>
      </w:hyperlink>
      <w:r>
        <w:rPr>
          <w:rStyle w:val="author"/>
        </w:rPr>
        <w:t xml:space="preserve"> </w:t>
      </w:r>
    </w:p>
    <w:p w:rsidR="000D1320" w:rsidRDefault="000D1320" w:rsidP="000D1320">
      <w:pPr>
        <w:pStyle w:val="chapo"/>
      </w:pPr>
      <w:r>
        <w:t>Les collectivités territoriales, les établissements publics de coopération intercommunale (EPCI) et leurs élus ne doivent prendre aucune initiative susceptible d'être motivée par des considérations électoralistes, ou appréciée comme telle.</w:t>
      </w:r>
    </w:p>
    <w:p w:rsidR="000D1320" w:rsidRDefault="000D1320" w:rsidP="000D1320">
      <w:pPr>
        <w:pStyle w:val="NormalWeb"/>
      </w:pPr>
      <w:r>
        <w:rPr>
          <w:rStyle w:val="lev"/>
        </w:rPr>
        <w:t xml:space="preserve">Par Jean-Louis Vasseur, avocat associé, SCP </w:t>
      </w:r>
      <w:proofErr w:type="spellStart"/>
      <w:r>
        <w:rPr>
          <w:rStyle w:val="lev"/>
        </w:rPr>
        <w:t>Seban</w:t>
      </w:r>
      <w:proofErr w:type="spellEnd"/>
      <w:r>
        <w:rPr>
          <w:rStyle w:val="lev"/>
        </w:rPr>
        <w:t xml:space="preserve"> &amp; associés</w:t>
      </w:r>
    </w:p>
    <w:p w:rsidR="000D1320" w:rsidRDefault="000D1320" w:rsidP="000D1320">
      <w:pPr>
        <w:pStyle w:val="NormalWeb"/>
      </w:pPr>
      <w:r>
        <w:t>Sommaire de l’analyse</w:t>
      </w:r>
      <w:r>
        <w:br/>
        <w:t xml:space="preserve">I. </w:t>
      </w:r>
      <w:hyperlink r:id="rId10" w:anchor="principesgeneraux" w:history="1">
        <w:r>
          <w:rPr>
            <w:rStyle w:val="Lienhypertexte"/>
          </w:rPr>
          <w:t>Les principes généraux</w:t>
        </w:r>
      </w:hyperlink>
      <w:r>
        <w:br/>
        <w:t xml:space="preserve">II. </w:t>
      </w:r>
      <w:hyperlink r:id="rId11" w:anchor="principales" w:history="1">
        <w:r>
          <w:rPr>
            <w:rStyle w:val="Lienhypertexte"/>
          </w:rPr>
          <w:t>Les principales règles juridiques</w:t>
        </w:r>
      </w:hyperlink>
    </w:p>
    <w:p w:rsidR="000D1320" w:rsidRDefault="000D1320" w:rsidP="000D1320">
      <w:pPr>
        <w:pStyle w:val="NormalWeb"/>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0D1320" w:rsidRDefault="000D1320" w:rsidP="000D1320">
      <w:pPr>
        <w:pStyle w:val="NormalWeb"/>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0D1320" w:rsidRDefault="000D1320" w:rsidP="000D1320">
      <w:pPr>
        <w:pStyle w:val="NormalWeb"/>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0D1320" w:rsidRDefault="000D1320" w:rsidP="000D1320">
      <w:pPr>
        <w:pStyle w:val="NormalWeb"/>
      </w:pPr>
      <w:r>
        <w:lastRenderedPageBreak/>
        <w:t>Il existe plusieurs grandes dispositions dans le Code électoral limitant la communication institutionnelle en période préélectorale.</w:t>
      </w:r>
    </w:p>
    <w:p w:rsidR="000D1320" w:rsidRDefault="000D1320" w:rsidP="000D1320">
      <w:pPr>
        <w:pStyle w:val="NormalWeb"/>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0D1320" w:rsidRDefault="000D1320" w:rsidP="000D1320">
      <w:pPr>
        <w:pStyle w:val="Titre2"/>
      </w:pPr>
      <w:bookmarkStart w:id="1" w:name="principesgeneraux"/>
      <w:bookmarkEnd w:id="1"/>
      <w:r>
        <w:t>I. Les principes généraux</w:t>
      </w:r>
    </w:p>
    <w:p w:rsidR="000D1320" w:rsidRDefault="000D1320" w:rsidP="000D1320">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0D1320" w:rsidRDefault="000D1320" w:rsidP="000D1320">
      <w:pPr>
        <w:pStyle w:val="NormalWeb"/>
      </w:pPr>
      <w:r>
        <w:t>Ces principes s’appliquent de manière alternative et non cumulative.</w:t>
      </w:r>
    </w:p>
    <w:p w:rsidR="000D1320" w:rsidRDefault="000D1320" w:rsidP="000D1320">
      <w:pPr>
        <w:pStyle w:val="NormalWeb"/>
      </w:pPr>
      <w:r>
        <w:rPr>
          <w:rStyle w:val="lev"/>
        </w:rPr>
        <w:t>Antériorité</w:t>
      </w:r>
    </w:p>
    <w:p w:rsidR="000D1320" w:rsidRDefault="000D1320" w:rsidP="000D1320">
      <w:pPr>
        <w:pStyle w:val="NormalWeb"/>
      </w:pPr>
      <w:r>
        <w:t>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d’une publication ne doit pas avoir un caractère nouveau, la publication doit avoir été déjà diffusée précédemment.</w:t>
      </w:r>
    </w:p>
    <w:p w:rsidR="000D1320" w:rsidRDefault="000D1320" w:rsidP="000D1320">
      <w:pPr>
        <w:pStyle w:val="NormalWeb"/>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0D1320" w:rsidRDefault="000D1320" w:rsidP="000D1320">
      <w:pPr>
        <w:pStyle w:val="NormalWeb"/>
      </w:pPr>
      <w:r>
        <w:rPr>
          <w:rStyle w:val="lev"/>
        </w:rPr>
        <w:t>Régularité</w:t>
      </w:r>
    </w:p>
    <w:p w:rsidR="000D1320" w:rsidRDefault="000D1320" w:rsidP="000D1320">
      <w:pPr>
        <w:pStyle w:val="NormalWeb"/>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0D1320" w:rsidRDefault="000D1320" w:rsidP="000D1320">
      <w:pPr>
        <w:pStyle w:val="NormalWeb"/>
      </w:pPr>
      <w:r>
        <w:rPr>
          <w:rStyle w:val="lev"/>
        </w:rPr>
        <w:t>Identité</w:t>
      </w:r>
    </w:p>
    <w:p w:rsidR="000D1320" w:rsidRDefault="000D1320" w:rsidP="000D1320">
      <w:pPr>
        <w:pStyle w:val="NormalWeb"/>
      </w:pPr>
      <w:r>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0D1320" w:rsidRDefault="000D1320" w:rsidP="000D1320">
      <w:pPr>
        <w:pStyle w:val="NormalWeb"/>
      </w:pPr>
      <w:r>
        <w:rPr>
          <w:rStyle w:val="lev"/>
        </w:rPr>
        <w:t>Neutralité</w:t>
      </w:r>
    </w:p>
    <w:p w:rsidR="000D1320" w:rsidRDefault="000D1320" w:rsidP="000D1320">
      <w:pPr>
        <w:pStyle w:val="NormalWeb"/>
      </w:pPr>
      <w:r>
        <w:lastRenderedPageBreak/>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0D1320" w:rsidRDefault="000D1320" w:rsidP="000D1320">
      <w:pPr>
        <w:pStyle w:val="marticleencadre"/>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0D1320" w:rsidRDefault="000D1320" w:rsidP="000D1320">
      <w:pPr>
        <w:pStyle w:val="NormalWeb"/>
      </w:pPr>
      <w:r>
        <w:t xml:space="preserve">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w:t>
      </w:r>
      <w:proofErr w:type="spellStart"/>
      <w:r>
        <w:t>Portel</w:t>
      </w:r>
      <w:proofErr w:type="spellEnd"/>
      <w:r>
        <w:t>).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0D1320" w:rsidRDefault="000D1320" w:rsidP="000D1320">
      <w:pPr>
        <w:pStyle w:val="Titre2"/>
      </w:pPr>
      <w:bookmarkStart w:id="2" w:name="principales"/>
      <w:bookmarkEnd w:id="2"/>
      <w:r>
        <w:t>II. Les principales règles juridiques</w:t>
      </w:r>
    </w:p>
    <w:p w:rsidR="000D1320" w:rsidRDefault="000D1320" w:rsidP="000D1320">
      <w:pPr>
        <w:pStyle w:val="NormalWeb"/>
      </w:pPr>
      <w:r>
        <w:rPr>
          <w:rStyle w:val="lev"/>
        </w:rPr>
        <w:t>Interdiction d’apporter une aide directe ou indirecte au candidat</w:t>
      </w:r>
    </w:p>
    <w:p w:rsidR="000D1320" w:rsidRDefault="000D1320" w:rsidP="000D1320">
      <w:pPr>
        <w:pStyle w:val="NormalWeb"/>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0D1320" w:rsidRDefault="000D1320" w:rsidP="000D1320">
      <w:pPr>
        <w:pStyle w:val="NormalWeb"/>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0D1320" w:rsidRDefault="000D1320" w:rsidP="000D1320">
      <w:pPr>
        <w:pStyle w:val="marticleencadre"/>
      </w:pPr>
      <w:r>
        <w:rPr>
          <w:rStyle w:val="lev"/>
        </w:rPr>
        <w:t>A noter -</w:t>
      </w:r>
      <w:r>
        <w:t xml:space="preserve"> </w:t>
      </w:r>
      <w:r>
        <w:rPr>
          <w:rStyle w:val="lev"/>
        </w:rPr>
        <w:t xml:space="preserve">Une aide prohibée d’une collectivité à un candidat qui aurait été apportée avant cette date ne devrait pas être </w:t>
      </w:r>
      <w:proofErr w:type="gramStart"/>
      <w:r>
        <w:rPr>
          <w:rStyle w:val="lev"/>
        </w:rPr>
        <w:t>considérée</w:t>
      </w:r>
      <w:proofErr w:type="gramEnd"/>
      <w:r>
        <w:rPr>
          <w:rStyle w:val="lev"/>
        </w:rPr>
        <w:t xml:space="preserv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0D1320" w:rsidRDefault="000D1320" w:rsidP="000D1320">
      <w:pPr>
        <w:pStyle w:val="NormalWeb"/>
      </w:pPr>
      <w:r>
        <w:rPr>
          <w:rStyle w:val="lev"/>
        </w:rPr>
        <w:t>Les personnes concernées</w:t>
      </w:r>
    </w:p>
    <w:p w:rsidR="000D1320" w:rsidRDefault="000D1320" w:rsidP="000D1320">
      <w:pPr>
        <w:pStyle w:val="NormalWeb"/>
      </w:pPr>
      <w:r>
        <w:t xml:space="preserve">L’interdiction vise toutes les personnes morales, sauf les partis ou groupements politiques à la condition que l’association de financement du parti ou groupement politique ait été agréée par la Commission nationale des comptes de campagne et des financements politiques (CNCCFP), avant que cette dernière ne se prononce sur la régularité du compte de campagne (CC 27 février 2003, AN Martinique 3e </w:t>
      </w:r>
      <w:proofErr w:type="spellStart"/>
      <w:r>
        <w:t>circ</w:t>
      </w:r>
      <w:proofErr w:type="spellEnd"/>
      <w:r>
        <w:t>).</w:t>
      </w:r>
    </w:p>
    <w:p w:rsidR="000D1320" w:rsidRDefault="000D1320" w:rsidP="000D1320">
      <w:pPr>
        <w:pStyle w:val="NormalWeb"/>
      </w:pPr>
      <w:r>
        <w:lastRenderedPageBreak/>
        <w:t>Elle vise les établissements publics locaux, les EPCI, les sociétés d’économie mixtes locales. Elle vise aussi les entreprises, les associations loi de 1901.</w:t>
      </w:r>
    </w:p>
    <w:p w:rsidR="000D1320" w:rsidRDefault="000D1320" w:rsidP="000D1320">
      <w:pPr>
        <w:pStyle w:val="NormalWeb"/>
      </w:pPr>
      <w:r>
        <w:t>Les aides prohibées. L’interdiction vise toute forme de don : don en espèces, avantage en nature, réduction de prix par rapport au marché pour un bien ou une prestation équivalente.</w:t>
      </w:r>
    </w:p>
    <w:p w:rsidR="000D1320" w:rsidRDefault="000D1320" w:rsidP="000D1320">
      <w:pPr>
        <w:numPr>
          <w:ilvl w:val="0"/>
          <w:numId w:val="14"/>
        </w:numPr>
        <w:spacing w:before="100" w:beforeAutospacing="1" w:after="100" w:afterAutospacing="1"/>
      </w:pPr>
      <w:r>
        <w:t xml:space="preserve">Il a été jugé que constitue un don prohibé l’utilisation par un élu candidat – sans le payer – d’un cliché photographique appartenant à la mairie, valeur 25 000 francs (CE 29 janv. 1997, El. </w:t>
      </w:r>
      <w:proofErr w:type="spellStart"/>
      <w:r>
        <w:t>mun</w:t>
      </w:r>
      <w:proofErr w:type="spellEnd"/>
      <w:r>
        <w:t xml:space="preserve">. </w:t>
      </w:r>
      <w:proofErr w:type="spellStart"/>
      <w:r>
        <w:t>Calluire</w:t>
      </w:r>
      <w:proofErr w:type="spellEnd"/>
      <w:r>
        <w:t xml:space="preserve"> et Cuire), de même que la publication d’un mensuel financé par la commune durant toute l’année précédant l’élection et comportant des éléments de propagande électorale (CE 15 janv. 1997, El. </w:t>
      </w:r>
      <w:proofErr w:type="spellStart"/>
      <w:r>
        <w:t>mun</w:t>
      </w:r>
      <w:proofErr w:type="spellEnd"/>
      <w:r>
        <w:t>. de Villeurbanne), ou l’utilisation d’un véhicule de fonction de société (CC 27 mars 2003, AN Ariège 2e circ.).</w:t>
      </w:r>
    </w:p>
    <w:p w:rsidR="000D1320" w:rsidRDefault="000D1320" w:rsidP="000D1320">
      <w:pPr>
        <w:numPr>
          <w:ilvl w:val="0"/>
          <w:numId w:val="14"/>
        </w:numPr>
        <w:spacing w:before="100" w:beforeAutospacing="1" w:after="100" w:afterAutospacing="1"/>
      </w:pPr>
      <w:r>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0D1320" w:rsidRDefault="000D1320" w:rsidP="000D1320">
      <w:pPr>
        <w:numPr>
          <w:ilvl w:val="0"/>
          <w:numId w:val="14"/>
        </w:numPr>
        <w:spacing w:before="100" w:beforeAutospacing="1" w:after="100" w:afterAutospacing="1"/>
      </w:pPr>
      <w:r>
        <w:t xml:space="preserve">Constitue une aide prohibée d’une personne morale de droit public la mise à disposition gratuite d’une salle publique au profit exclusif d’un candidat (CE 18 mars 2005, CNCCFP/Mme </w:t>
      </w:r>
      <w:proofErr w:type="spellStart"/>
      <w:r>
        <w:t>Hervée</w:t>
      </w:r>
      <w:proofErr w:type="spellEnd"/>
      <w:r>
        <w:t xml:space="preserv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w:t>
      </w:r>
      <w:proofErr w:type="spellStart"/>
      <w:r>
        <w:t>Const</w:t>
      </w:r>
      <w:proofErr w:type="spellEnd"/>
      <w:r>
        <w:t>. 13 fév. 1998, AN Val-d’Oise 5e circ.).</w:t>
      </w:r>
    </w:p>
    <w:p w:rsidR="000D1320" w:rsidRDefault="000D1320" w:rsidP="000D1320">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0D1320" w:rsidRDefault="000D1320" w:rsidP="000D1320">
      <w:pPr>
        <w:pStyle w:val="NormalWeb"/>
      </w:pPr>
      <w:r>
        <w:rPr>
          <w:rStyle w:val="lev"/>
        </w:rPr>
        <w:t>Les sanctions</w:t>
      </w:r>
    </w:p>
    <w:p w:rsidR="000D1320" w:rsidRDefault="000D1320" w:rsidP="000D1320">
      <w:pPr>
        <w:pStyle w:val="NormalWeb"/>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0D1320" w:rsidRDefault="000D1320" w:rsidP="000D1320">
      <w:pPr>
        <w:pStyle w:val="NormalWeb"/>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0D1320" w:rsidRDefault="000D1320" w:rsidP="000D1320">
      <w:pPr>
        <w:pStyle w:val="NormalWeb"/>
      </w:pPr>
      <w:r>
        <w:rPr>
          <w:rStyle w:val="lev"/>
        </w:rPr>
        <w:t>L’appréciation du juge</w:t>
      </w:r>
    </w:p>
    <w:p w:rsidR="000D1320" w:rsidRDefault="000D1320" w:rsidP="000D1320">
      <w:pPr>
        <w:pStyle w:val="NormalWeb"/>
      </w:pPr>
      <w:r>
        <w:lastRenderedPageBreak/>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0D1320" w:rsidRDefault="000D1320" w:rsidP="000D1320">
      <w:pPr>
        <w:pStyle w:val="NormalWeb"/>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0D1320" w:rsidRDefault="000D1320" w:rsidP="000D1320">
      <w:pPr>
        <w:pStyle w:val="NormalWeb"/>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0D1320" w:rsidRDefault="000D1320" w:rsidP="000D1320">
      <w:pPr>
        <w:pStyle w:val="NormalWeb"/>
      </w:pPr>
      <w:r>
        <w:rPr>
          <w:rStyle w:val="lev"/>
        </w:rPr>
        <w:t>Interdiction de toute campagne de promotion publicitaire</w:t>
      </w:r>
    </w:p>
    <w:p w:rsidR="000D1320" w:rsidRDefault="000D1320" w:rsidP="000D1320">
      <w:pPr>
        <w:pStyle w:val="NormalWeb"/>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0D1320" w:rsidRDefault="000D1320" w:rsidP="000D1320">
      <w:pPr>
        <w:pStyle w:val="NormalWeb"/>
      </w:pPr>
      <w:r>
        <w:t>La portée de l’interdiction. Il y a campagne de promotion publicitaire dès lors que l’initiative de communication dépasse l’information classique pour devenir un instrument de promotion des réalisations d’une municipalité et de ses élus.</w:t>
      </w:r>
    </w:p>
    <w:p w:rsidR="000D1320" w:rsidRDefault="000D1320" w:rsidP="000D1320">
      <w:pPr>
        <w:pStyle w:val="marticleencadre"/>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0D1320" w:rsidRDefault="000D1320" w:rsidP="000D1320">
      <w:pPr>
        <w:pStyle w:val="NormalWeb"/>
      </w:pPr>
      <w:r>
        <w:t xml:space="preserve">C’est le cas notamment, d’une commune qui assure la promotion de son maire aux élections cantonales (CE 28 juil. 1993, Fourcade), d’un établissement public de coopération intercommunale assurant la promotion de son président candidat aux élections législatives (Cons. </w:t>
      </w:r>
      <w:proofErr w:type="spellStart"/>
      <w:r>
        <w:t>Const</w:t>
      </w:r>
      <w:proofErr w:type="spellEnd"/>
      <w:r>
        <w:t xml:space="preserve">. 4 nov. 1993, AN Rhône 2e circ.) </w:t>
      </w:r>
      <w:proofErr w:type="gramStart"/>
      <w:r>
        <w:t>ou</w:t>
      </w:r>
      <w:proofErr w:type="gramEnd"/>
      <w:r>
        <w:t xml:space="preserve"> aux élections régionales (CE 11 déc. 1998, El. </w:t>
      </w:r>
      <w:proofErr w:type="spellStart"/>
      <w:r>
        <w:t>rég</w:t>
      </w:r>
      <w:proofErr w:type="spellEnd"/>
      <w:r>
        <w:t>. Rhône-Alpes).</w:t>
      </w:r>
    </w:p>
    <w:p w:rsidR="000D1320" w:rsidRDefault="000D1320" w:rsidP="000D1320">
      <w:pPr>
        <w:pStyle w:val="NormalWeb"/>
      </w:pPr>
      <w:r>
        <w:t xml:space="preserve">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w:t>
      </w:r>
      <w:proofErr w:type="spellStart"/>
      <w:r>
        <w:t>Bordères-sur-l’Echez</w:t>
      </w:r>
      <w:proofErr w:type="spellEnd"/>
      <w:r>
        <w:t>).</w:t>
      </w:r>
    </w:p>
    <w:p w:rsidR="000D1320" w:rsidRDefault="000D1320" w:rsidP="000D1320">
      <w:pPr>
        <w:numPr>
          <w:ilvl w:val="0"/>
          <w:numId w:val="15"/>
        </w:numPr>
        <w:spacing w:before="100" w:beforeAutospacing="1" w:after="100" w:afterAutospacing="1"/>
      </w:pPr>
      <w:r>
        <w:t xml:space="preserve">Constituent une campagne prohibée des initiatives nombreuses et répétées mettant en valeur l’action de la collectivité : intensité accrue de la publication du magazine </w:t>
      </w:r>
      <w:r>
        <w:lastRenderedPageBreak/>
        <w:t xml:space="preserve">municipal, quatre numéros spéciaux consacrés à mettre en valeur l’action municipale, dont le bilan de la municipalité, des inaugurations réitérées (CE, 10 juillet 2009, El. </w:t>
      </w:r>
      <w:proofErr w:type="spellStart"/>
      <w:r>
        <w:t>mun</w:t>
      </w:r>
      <w:proofErr w:type="spellEnd"/>
      <w:r>
        <w:t>. de Briançon).</w:t>
      </w:r>
    </w:p>
    <w:p w:rsidR="000D1320" w:rsidRDefault="000D1320" w:rsidP="000D1320">
      <w:pPr>
        <w:numPr>
          <w:ilvl w:val="0"/>
          <w:numId w:val="15"/>
        </w:numPr>
        <w:spacing w:before="100" w:beforeAutospacing="1" w:after="100" w:afterAutospacing="1"/>
      </w:pPr>
      <w:r>
        <w:t xml:space="preserve">Constitue une violation des dispositions de l’article L.52-1 alinéa 2 l’inauguration d’une bibliothèque municipale en présence d’un ministre deux mois avant le scrutin, mais aussi plus d’un an et demi après son ouverture au public (CE 7 mai 1997, El. </w:t>
      </w:r>
      <w:proofErr w:type="spellStart"/>
      <w:r>
        <w:t>mun</w:t>
      </w:r>
      <w:proofErr w:type="spellEnd"/>
      <w:r>
        <w:t>. d’Annonay).</w:t>
      </w:r>
    </w:p>
    <w:p w:rsidR="000D1320" w:rsidRDefault="000D1320" w:rsidP="000D1320">
      <w:pPr>
        <w:numPr>
          <w:ilvl w:val="0"/>
          <w:numId w:val="15"/>
        </w:numPr>
        <w:spacing w:before="100" w:beforeAutospacing="1" w:after="100" w:afterAutospacing="1"/>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0D1320" w:rsidRDefault="000D1320" w:rsidP="000D1320">
      <w:pPr>
        <w:pStyle w:val="marticleencadre"/>
      </w:pPr>
      <w:r>
        <w:rPr>
          <w:rStyle w:val="lev"/>
        </w:rPr>
        <w:t>A noter -</w:t>
      </w:r>
      <w:r>
        <w:t xml:space="preserve"> </w:t>
      </w:r>
      <w:r>
        <w:rPr>
          <w:rStyle w:val="lev"/>
        </w:rPr>
        <w:t xml:space="preserve">Une collectivité peut continuer à organiser des manifestations nombreuses si elles sont analogues à celles des années précédentes (Cons. </w:t>
      </w:r>
      <w:proofErr w:type="spellStart"/>
      <w:r>
        <w:rPr>
          <w:rStyle w:val="lev"/>
        </w:rPr>
        <w:t>Const</w:t>
      </w:r>
      <w:proofErr w:type="spellEnd"/>
      <w:r>
        <w:rPr>
          <w:rStyle w:val="lev"/>
        </w:rPr>
        <w:t>. 20 janvier 2003, AN Hauts-de-Seine 5e circ. 2002-2654). Ne sont pas interdites non plus les réunions destinées à présenter la municipalité aux nouveaux habitants arrivant dans la commune (CE 22 nov. 1995, Elections cantonales Bois-Colombes n°163105).</w:t>
      </w:r>
    </w:p>
    <w:p w:rsidR="000D1320" w:rsidRDefault="000D1320" w:rsidP="000D1320">
      <w:pPr>
        <w:pStyle w:val="NormalWeb"/>
      </w:pPr>
      <w:r>
        <w:rPr>
          <w:rStyle w:val="lev"/>
        </w:rPr>
        <w:t>Les sanctions</w:t>
      </w:r>
    </w:p>
    <w:p w:rsidR="000D1320" w:rsidRDefault="000D1320" w:rsidP="000D1320">
      <w:pPr>
        <w:pStyle w:val="NormalWeb"/>
      </w:pPr>
      <w:r>
        <w:t xml:space="preserve">La méconnaissance de l’article L.52-1 alinéa 2 entraîne également des sanctions sévères puisqu’elle peut se traduire par l’annulation des élections en cas d’écart faible entre des voix des candidats (CE, 5 juin </w:t>
      </w:r>
      <w:proofErr w:type="gramStart"/>
      <w:r>
        <w:t>1996 ,El</w:t>
      </w:r>
      <w:proofErr w:type="gramEnd"/>
      <w:r>
        <w:t xml:space="preserve">. </w:t>
      </w:r>
      <w:proofErr w:type="spellStart"/>
      <w:r>
        <w:t>mun</w:t>
      </w:r>
      <w:proofErr w:type="spellEnd"/>
      <w:r>
        <w:t xml:space="preserve">. Morhange – écart faible, annulation ; CE 10 juin 1996, El. </w:t>
      </w:r>
      <w:proofErr w:type="gramStart"/>
      <w:r>
        <w:t>cant</w:t>
      </w:r>
      <w:proofErr w:type="gramEnd"/>
      <w:r>
        <w: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0D1320" w:rsidRDefault="000D1320" w:rsidP="000D1320">
      <w:pPr>
        <w:pStyle w:val="NormalWeb"/>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0D1320" w:rsidRDefault="000D1320" w:rsidP="000D1320">
      <w:pPr>
        <w:pStyle w:val="marticleencadre"/>
        <w:spacing w:before="0" w:beforeAutospacing="0" w:after="0" w:afterAutospacing="0"/>
      </w:pPr>
      <w:r>
        <w:rPr>
          <w:rStyle w:val="lev"/>
        </w:rPr>
        <w:t>A SAVOIR</w:t>
      </w:r>
    </w:p>
    <w:p w:rsidR="000D1320" w:rsidRDefault="000D1320" w:rsidP="000D1320">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0D1320" w:rsidRDefault="000D1320" w:rsidP="000D1320">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0D1320" w:rsidRDefault="000D1320" w:rsidP="000D1320">
      <w:pPr>
        <w:pStyle w:val="AdresseHTML"/>
      </w:pPr>
      <w:r>
        <w:t>© Le Courrier des maires, n°0266, du 7 mars 2013</w:t>
      </w:r>
    </w:p>
    <w:p w:rsidR="000D1320" w:rsidRDefault="000D1320" w:rsidP="000D1320">
      <w:pPr>
        <w:pStyle w:val="NormalWeb"/>
        <w:spacing w:before="0" w:beforeAutospacing="0" w:after="0" w:afterAutospacing="0"/>
      </w:pPr>
      <w:r>
        <w:rPr>
          <w:rStyle w:val="lev"/>
        </w:rPr>
        <w:t>Code électoral</w:t>
      </w:r>
    </w:p>
    <w:p w:rsidR="000D1320" w:rsidRDefault="000D1320" w:rsidP="000D1320">
      <w:pPr>
        <w:numPr>
          <w:ilvl w:val="0"/>
          <w:numId w:val="16"/>
        </w:numPr>
      </w:pPr>
      <w:r>
        <w:t>Article L.52-8 prohibant toute aide des collectivités aux campagnes des candidats durant l'année précédant les élections.</w:t>
      </w:r>
    </w:p>
    <w:p w:rsidR="000D1320" w:rsidRDefault="000D1320" w:rsidP="000D1320">
      <w:pPr>
        <w:numPr>
          <w:ilvl w:val="0"/>
          <w:numId w:val="16"/>
        </w:numPr>
      </w:pPr>
      <w:r>
        <w:t>Article L.52-1 alinéa 2 excluant toute campagne de promotion publicitaire des réalisations et de la gestion des collectivités intéressées par des élections générales durant les six mois précédant le mois d'un scrutin.</w:t>
      </w:r>
    </w:p>
    <w:p w:rsidR="000D1320" w:rsidRDefault="000D1320" w:rsidP="000D1320">
      <w:pPr>
        <w:numPr>
          <w:ilvl w:val="0"/>
          <w:numId w:val="16"/>
        </w:numPr>
      </w:pPr>
      <w:hyperlink r:id="rId12" w:history="1">
        <w:r>
          <w:rPr>
            <w:rStyle w:val="Lienhypertexte"/>
          </w:rPr>
          <w:t>Loi n°2011-412 du 14 avril 2011</w:t>
        </w:r>
      </w:hyperlink>
      <w:r>
        <w:t xml:space="preserve"> portant simplification de dispositions du Code électoral et relative à la transparence financière de la vie politique (JO du 19 avril 2011, p. 6831).</w:t>
      </w:r>
    </w:p>
    <w:p w:rsidR="000D1320" w:rsidRDefault="000D1320" w:rsidP="000D1320">
      <w:pPr>
        <w:pStyle w:val="NormalWeb"/>
        <w:spacing w:before="0" w:beforeAutospacing="0" w:after="0" w:afterAutospacing="0"/>
      </w:pPr>
      <w:r>
        <w:t xml:space="preserve">Le </w:t>
      </w:r>
      <w:hyperlink r:id="rId13" w:history="1">
        <w:r>
          <w:rPr>
            <w:rStyle w:val="Lienhypertexte"/>
          </w:rPr>
          <w:t>site web de la Commission nationale des comptes de campagne et des financements politiques</w:t>
        </w:r>
      </w:hyperlink>
      <w:r>
        <w:t xml:space="preserve"> (CNCCFP)</w:t>
      </w:r>
    </w:p>
    <w:p w:rsidR="000D1320" w:rsidRDefault="000D1320">
      <w:pPr>
        <w:rPr>
          <w:b/>
          <w:bCs/>
          <w:sz w:val="36"/>
          <w:szCs w:val="36"/>
          <w:lang w:eastAsia="fr-FR"/>
        </w:rPr>
      </w:pPr>
      <w:r>
        <w:br w:type="page"/>
      </w:r>
    </w:p>
    <w:p w:rsidR="003577E0" w:rsidRDefault="003577E0" w:rsidP="003577E0">
      <w:pPr>
        <w:pStyle w:val="Titre2"/>
      </w:pPr>
      <w:r>
        <w:lastRenderedPageBreak/>
        <w:t>Communication et campagne électorale : un cadre contraint</w:t>
      </w:r>
    </w:p>
    <w:p w:rsidR="003577E0" w:rsidRDefault="003577E0" w:rsidP="003577E0">
      <w:pPr>
        <w:pStyle w:val="NormalWeb"/>
      </w:pPr>
      <w:proofErr w:type="gramStart"/>
      <w:r>
        <w:rPr>
          <w:rStyle w:val="Date1"/>
        </w:rPr>
        <w:t>le</w:t>
      </w:r>
      <w:proofErr w:type="gramEnd"/>
      <w:r>
        <w:rPr>
          <w:rStyle w:val="Date1"/>
        </w:rPr>
        <w:t xml:space="preserve"> 19 11 2013</w:t>
      </w:r>
      <w:r>
        <w:t xml:space="preserve"> </w:t>
      </w:r>
      <w:hyperlink r:id="rId14" w:history="1">
        <w:r w:rsidR="000D1320" w:rsidRPr="006C0750">
          <w:rPr>
            <w:rStyle w:val="Lienhypertexte"/>
          </w:rPr>
          <w:t>http://www.vie-publique.fr/actualite/dossier/municipales-2014-election/communication-campagne-electorale-cadre-contraint.html</w:t>
        </w:r>
      </w:hyperlink>
      <w:r w:rsidR="000D1320">
        <w:t xml:space="preserve"> </w:t>
      </w:r>
    </w:p>
    <w:p w:rsidR="003577E0" w:rsidRDefault="003577E0" w:rsidP="003577E0">
      <w:pPr>
        <w:pStyle w:val="chapo"/>
      </w:pPr>
      <w:r>
        <w:rPr>
          <w:rStyle w:val="lev"/>
        </w:rPr>
        <w:t>Les règles progressivement mises en place par les pouvoirs publics et le législateur définissent des obligations et des interdits pour l’utilisation des moyens de communication et de propagande électorale. Pour les élections municipales, des règles spécifiques sont également édictées pour la communication municipale en période pré-électorale pour l’année qui précède l’élection.</w:t>
      </w:r>
    </w:p>
    <w:p w:rsidR="003577E0" w:rsidRDefault="00B90C01" w:rsidP="003577E0">
      <w:pPr>
        <w:numPr>
          <w:ilvl w:val="0"/>
          <w:numId w:val="8"/>
        </w:numPr>
        <w:spacing w:before="100" w:beforeAutospacing="1" w:after="100" w:afterAutospacing="1"/>
      </w:pPr>
      <w:hyperlink r:id="rId15" w:anchor="onglet3" w:history="1">
        <w:r w:rsidR="003577E0">
          <w:rPr>
            <w:rStyle w:val="Lienhypertexte"/>
          </w:rPr>
          <w:t>Sur la toile publique</w:t>
        </w:r>
      </w:hyperlink>
      <w:r w:rsidR="003577E0">
        <w:t xml:space="preserve"> </w:t>
      </w:r>
    </w:p>
    <w:p w:rsidR="003577E0" w:rsidRDefault="003577E0" w:rsidP="003577E0">
      <w:pPr>
        <w:pStyle w:val="spip"/>
      </w:pPr>
      <w:r>
        <w:t>Les conseillers municipaux seront élus les 23 et 30 mars 2014.</w:t>
      </w:r>
    </w:p>
    <w:p w:rsidR="003577E0" w:rsidRDefault="003577E0" w:rsidP="003577E0">
      <w:pPr>
        <w:pStyle w:val="spip"/>
      </w:pPr>
      <w:r>
        <w:t>Dès le 1er mars 2013, la communication municipale est soumise à des règles spécifiques.</w:t>
      </w:r>
    </w:p>
    <w:p w:rsidR="003577E0" w:rsidRDefault="003577E0" w:rsidP="003577E0">
      <w:pPr>
        <w:pStyle w:val="spip"/>
      </w:pPr>
      <w:r>
        <w:t xml:space="preserve">La </w:t>
      </w:r>
      <w:bookmarkStart w:id="3" w:name="mot4815"/>
      <w:r>
        <w:fldChar w:fldCharType="begin"/>
      </w:r>
      <w:r>
        <w:instrText xml:space="preserve"> HYPERLINK "http://www.vie-publique.fr/th/glossaire/campagne-electorale.html" </w:instrText>
      </w:r>
      <w:r>
        <w:fldChar w:fldCharType="separate"/>
      </w:r>
      <w:r>
        <w:rPr>
          <w:rStyle w:val="glmot"/>
          <w:color w:val="0000FF"/>
          <w:u w:val="single"/>
        </w:rPr>
        <w:t>campagne électorale</w:t>
      </w:r>
      <w:r>
        <w:fldChar w:fldCharType="end"/>
      </w:r>
      <w:bookmarkEnd w:id="3"/>
      <w:r>
        <w:t xml:space="preserve"> officielle débute le 10 mars 2014, elle s’achève le 22 mars 2014 à minuit. Pour le second tour, elle s’ouvre le 24 mars 2014 et se termine le 29 mars 2014 à minuit. C’est durant cette période que les moyens de propagande sont le plus strictement réglementés.</w:t>
      </w:r>
    </w:p>
    <w:p w:rsidR="003577E0" w:rsidRDefault="003577E0" w:rsidP="003577E0">
      <w:pPr>
        <w:pStyle w:val="Titre3"/>
      </w:pPr>
      <w:r>
        <w:t>La communication municipale en période pré-électorale</w:t>
      </w:r>
    </w:p>
    <w:p w:rsidR="003577E0" w:rsidRDefault="003577E0" w:rsidP="003577E0">
      <w:pPr>
        <w:pStyle w:val="spip"/>
      </w:pPr>
      <w:r>
        <w:t>Dès l’année qui précède l’élection municipale, soit depuis le 1er mars 2013 pour les élections de mars 2014, les collectivités territoriales doivent respecter certaines règles pour leur communication en raison de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 En outre, il est interdit à un candidat sortant de signer une tribune politique dans le bulletin municipal.</w:t>
      </w:r>
    </w:p>
    <w:p w:rsidR="003577E0" w:rsidRDefault="003577E0" w:rsidP="003577E0">
      <w:pPr>
        <w:pStyle w:val="spip"/>
      </w:pPr>
      <w:r>
        <w:t>A compter du premier jour du sixième mois précédant les élections, soit depuis le 1er septembre 2013, les collectivités territoriales intéressées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577E0" w:rsidRDefault="003577E0" w:rsidP="003577E0">
      <w:pPr>
        <w:pStyle w:val="spip"/>
      </w:pPr>
      <w:r>
        <w:t>Les actions de communication mises en place par les collectivités locales peuvent néanmoins se poursuivre en évitant d’apparaître comme des éléments de propagande en faveur de listes particulières.</w:t>
      </w:r>
    </w:p>
    <w:p w:rsidR="003577E0" w:rsidRDefault="003577E0" w:rsidP="003577E0">
      <w:pPr>
        <w:pStyle w:val="spip"/>
      </w:pPr>
      <w:r>
        <w:lastRenderedPageBreak/>
        <w:t>Les bulletins municipaux peuvent poursuivre leur parution, les cérémonies diverses (vœux, inaugurations, fêtes locales, etc.) peuvent toujours être organisées mais doivent conserver un contenu purement informatif sans référence à l’élection à venir, notamment à la candidature d’un élu local, à ses réalisations ou à ses projets. L’évènement doit par ailleurs avoir lieu conformément à sa périodicité habituelle et dans les conditions habituelles (ni avancé, ni retardé, ni particulièrement amplifié).</w:t>
      </w:r>
    </w:p>
    <w:p w:rsidR="003577E0" w:rsidRDefault="003577E0" w:rsidP="003577E0">
      <w:pPr>
        <w:pStyle w:val="spip"/>
      </w:pPr>
      <w:r>
        <w:t>Les sites internet des collectivités ne doivent pas participer à la campagne électorale, ils sont tenus à la neutralité. Ils ne peuvent pas, dans les 6 mois précédant l’élection, être utilisés comme support pour vanter les réalisations de la municipalité sortante. Ils ne peuvent ni servir explicitement la propagande d’une liste ni établir de lien vers le site d’une liste.</w:t>
      </w:r>
    </w:p>
    <w:p w:rsidR="003577E0" w:rsidRDefault="003577E0" w:rsidP="003577E0">
      <w:pPr>
        <w:pStyle w:val="Titre3"/>
      </w:pPr>
      <w:r>
        <w:t>Les moyens classiques de propagande</w:t>
      </w:r>
    </w:p>
    <w:p w:rsidR="003577E0" w:rsidRDefault="003577E0" w:rsidP="003577E0">
      <w:pPr>
        <w:numPr>
          <w:ilvl w:val="0"/>
          <w:numId w:val="9"/>
        </w:numPr>
        <w:spacing w:before="100" w:beforeAutospacing="1" w:after="100" w:afterAutospacing="1"/>
      </w:pPr>
      <w:r>
        <w:t>les réunions : toutes les réunions publiques sont autorisées et peuvent se tenir sans demandes d’autorisation préalable jusqu’à la veille du scrutin.</w:t>
      </w:r>
    </w:p>
    <w:p w:rsidR="003577E0" w:rsidRDefault="003577E0" w:rsidP="003577E0">
      <w:pPr>
        <w:numPr>
          <w:ilvl w:val="0"/>
          <w:numId w:val="10"/>
        </w:numPr>
        <w:spacing w:before="100" w:beforeAutospacing="1" w:after="100" w:afterAutospacing="1"/>
      </w:pPr>
      <w:r>
        <w:t xml:space="preserve">l’affichage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Les affiches ne doivent pas non plus comprendre une combinaison </w:t>
      </w:r>
      <w:proofErr w:type="gramStart"/>
      <w:r>
        <w:t xml:space="preserve">des couleurs bleu, blanc, rouge à l’exception de la reproduction de l’emblème d’un </w:t>
      </w:r>
      <w:bookmarkStart w:id="4" w:name="mot3342"/>
      <w:r>
        <w:fldChar w:fldCharType="begin"/>
      </w:r>
      <w:r>
        <w:instrText xml:space="preserve"> HYPERLINK "http://www.vie-publique.fr/th/glossaire/parti-politique.html" </w:instrText>
      </w:r>
      <w:r>
        <w:fldChar w:fldCharType="separate"/>
      </w:r>
      <w:r>
        <w:rPr>
          <w:rStyle w:val="glmot"/>
          <w:color w:val="0000FF"/>
          <w:u w:val="single"/>
        </w:rPr>
        <w:t>parti</w:t>
      </w:r>
      <w:proofErr w:type="gramEnd"/>
      <w:r>
        <w:rPr>
          <w:rStyle w:val="glmot"/>
          <w:color w:val="0000FF"/>
          <w:u w:val="single"/>
        </w:rPr>
        <w:t xml:space="preserve"> politique</w:t>
      </w:r>
      <w:r>
        <w:fldChar w:fldCharType="end"/>
      </w:r>
      <w:bookmarkEnd w:id="4"/>
      <w:r>
        <w:t>.</w:t>
      </w:r>
    </w:p>
    <w:p w:rsidR="003577E0" w:rsidRDefault="003577E0" w:rsidP="003577E0">
      <w:pPr>
        <w:numPr>
          <w:ilvl w:val="0"/>
          <w:numId w:val="11"/>
        </w:numPr>
        <w:spacing w:before="100" w:beforeAutospacing="1" w:after="100" w:afterAutospacing="1"/>
      </w:pPr>
      <w:r>
        <w:t xml:space="preserve">les tracts : leur distribution n’est plus interdite pendant la période électorale depuis la loi du 14 avril 2011. </w:t>
      </w:r>
    </w:p>
    <w:p w:rsidR="003577E0" w:rsidRDefault="003577E0" w:rsidP="003577E0">
      <w:pPr>
        <w:numPr>
          <w:ilvl w:val="0"/>
          <w:numId w:val="12"/>
        </w:numPr>
        <w:spacing w:before="100" w:beforeAutospacing="1" w:after="100" w:afterAutospacing="1"/>
      </w:pPr>
      <w:r>
        <w:t xml:space="preserve">les "circulaires" adressées aux électeurs : une seule circulaire pour l’ensemble de la </w:t>
      </w:r>
      <w:bookmarkStart w:id="5" w:name="mot4807"/>
      <w:r>
        <w:fldChar w:fldCharType="begin"/>
      </w:r>
      <w:r>
        <w:instrText xml:space="preserve"> HYPERLINK "http://www.vie-publique.fr/th/glossaire/circonscription-electorale.html" </w:instrText>
      </w:r>
      <w:r>
        <w:fldChar w:fldCharType="separate"/>
      </w:r>
      <w:r>
        <w:rPr>
          <w:rStyle w:val="glmot"/>
          <w:color w:val="0000FF"/>
          <w:u w:val="single"/>
        </w:rPr>
        <w:t>circonscription électorale</w:t>
      </w:r>
      <w:r>
        <w:fldChar w:fldCharType="end"/>
      </w:r>
      <w:bookmarkEnd w:id="5"/>
      <w:r>
        <w:t xml:space="preserve">, le même format de papier pour toutes les listes, une feuille recto-verso au maximum. Comme pour les affiches, la combinaison des trois couleurs </w:t>
      </w:r>
      <w:proofErr w:type="gramStart"/>
      <w:r>
        <w:t>bleu</w:t>
      </w:r>
      <w:proofErr w:type="gramEnd"/>
      <w:r>
        <w:t>, blanc, rouge est interdite.</w:t>
      </w:r>
    </w:p>
    <w:p w:rsidR="003577E0" w:rsidRDefault="003577E0" w:rsidP="003577E0">
      <w:pPr>
        <w:pStyle w:val="spip"/>
      </w:pPr>
      <w:r>
        <w:t xml:space="preserve">En outre, la loi du 14 avril 2011 interdit de porter à la connaissance du public un élément nouveau de polémique électorale juste avant l’organisation du scrutin sans donner la possibilité aux adversaires électoraux d’y répondre avant la fin de la campagne. Comme dans toute communication, les propos injurieux ou diffamatoires sont répréhensibles pénalement. Le Code électoral prévoit une </w:t>
      </w:r>
      <w:bookmarkStart w:id="6" w:name="mot3314"/>
      <w:r>
        <w:fldChar w:fldCharType="begin"/>
      </w:r>
      <w:r>
        <w:instrText xml:space="preserve"> HYPERLINK "http://www.vie-publique.fr/th/glossaire/infraction.html" </w:instrText>
      </w:r>
      <w:r>
        <w:fldChar w:fldCharType="separate"/>
      </w:r>
      <w:r>
        <w:rPr>
          <w:rStyle w:val="glmot"/>
          <w:color w:val="0000FF"/>
          <w:u w:val="single"/>
        </w:rPr>
        <w:t>infraction</w:t>
      </w:r>
      <w:r>
        <w:fldChar w:fldCharType="end"/>
      </w:r>
      <w:bookmarkEnd w:id="6"/>
      <w:r>
        <w:t xml:space="preserve"> spécifique lorsque des suffrages ont pu être détournés par des fausses nouvelles ou des calomnies. Le candidat </w:t>
      </w:r>
      <w:bookmarkStart w:id="7" w:name="mot3315"/>
      <w:r>
        <w:fldChar w:fldCharType="begin"/>
      </w:r>
      <w:r>
        <w:instrText xml:space="preserve"> HYPERLINK "http://www.vie-publique.fr/th/glossaire/victime.html" </w:instrText>
      </w:r>
      <w:r>
        <w:fldChar w:fldCharType="separate"/>
      </w:r>
      <w:r>
        <w:rPr>
          <w:rStyle w:val="glmot"/>
          <w:color w:val="0000FF"/>
          <w:u w:val="single"/>
        </w:rPr>
        <w:t>victime</w:t>
      </w:r>
      <w:r>
        <w:fldChar w:fldCharType="end"/>
      </w:r>
      <w:bookmarkEnd w:id="7"/>
      <w:r>
        <w:t xml:space="preserve"> de ces propos peut former un recours en annulation de l’élection.</w:t>
      </w:r>
    </w:p>
    <w:p w:rsidR="003577E0" w:rsidRDefault="003577E0" w:rsidP="003577E0">
      <w:pPr>
        <w:pStyle w:val="Titre3"/>
      </w:pPr>
      <w:r>
        <w:t>Les radios et télévisions</w:t>
      </w:r>
    </w:p>
    <w:p w:rsidR="003577E0" w:rsidRDefault="003577E0" w:rsidP="003577E0">
      <w:pPr>
        <w:pStyle w:val="spip"/>
      </w:pPr>
      <w:r>
        <w:t>Les moyens audiovisuels, notamment la télévision, ont aujourd’hui acquis une place considérée comme prééminente dans la communication politique.</w:t>
      </w:r>
    </w:p>
    <w:p w:rsidR="003577E0" w:rsidRDefault="003577E0" w:rsidP="003577E0">
      <w:pPr>
        <w:pStyle w:val="spip"/>
      </w:pPr>
      <w:r>
        <w:t xml:space="preserve">C’est le Conseil supérieur de l’audiovisuel (CSA) qui est chargé de veiller à la régulation de la communication et de la propagande à des fins électorales sur les chaînes de télévisions et les radios. L’accès à l’antenne des médias audiovisuels des candidats aux élections </w:t>
      </w:r>
      <w:r>
        <w:lastRenderedPageBreak/>
        <w:t>municipales relève des règles particulières fixées par le CSA dans sa délibération du 4 janvier 2011 relative au principe de pluralisme politique en période électorale.</w:t>
      </w:r>
    </w:p>
    <w:p w:rsidR="003577E0" w:rsidRDefault="003577E0" w:rsidP="003577E0">
      <w:pPr>
        <w:pStyle w:val="spip"/>
      </w:pPr>
      <w:r>
        <w:t>Elles prévoient notamment qu’au cours des six semaines précédant le scrutin, les services de radio et de télévision veillent à ce que les candidats et leurs soutiens bénéficient d’une présentation et d’un accès équitables à l’antenne. Pour les élections municipales 2014, ces règles s’appliquent à compter du 10 février 2014.</w:t>
      </w:r>
    </w:p>
    <w:p w:rsidR="003577E0" w:rsidRDefault="003577E0" w:rsidP="003577E0">
      <w:pPr>
        <w:pStyle w:val="spip"/>
      </w:pPr>
      <w:r>
        <w:t>Les chaînes de télévision et les radios doivent veiller, lorsqu’il est traité d’une circonscription électorale déterminée, à ce que les listes de candidats et leurs soutiens bénéficient d’une "présentation et d’un accès équitables à l’antenne".</w:t>
      </w:r>
    </w:p>
    <w:p w:rsidR="003577E0" w:rsidRDefault="003577E0" w:rsidP="003577E0">
      <w:pPr>
        <w:pStyle w:val="spip"/>
      </w:pPr>
      <w:r>
        <w:t>Pour les programmes locaux, la couverture de l’actualité locale doit prendre en compte les équilibres politiques locaux.</w:t>
      </w:r>
    </w:p>
    <w:p w:rsidR="003577E0" w:rsidRDefault="003577E0" w:rsidP="003577E0">
      <w:pPr>
        <w:pStyle w:val="spip"/>
      </w:pPr>
      <w:r>
        <w:t>D’autres règles concernent l’interdiction des publicités ayant un caractère électoral ou contenant des références à des candidats ou aux enjeux du scrutin.</w:t>
      </w:r>
    </w:p>
    <w:p w:rsidR="003577E0" w:rsidRDefault="003577E0" w:rsidP="003577E0">
      <w:pPr>
        <w:pStyle w:val="spip"/>
      </w:pPr>
      <w:r>
        <w:t>De même, la veille et le jour du scrutin, la diffusion ou le commentaire de sondages d’opinion en rapport avec l’élection ainsi que la diffusion de propos à caractère électoral sont interdits.</w:t>
      </w:r>
    </w:p>
    <w:p w:rsidR="003577E0" w:rsidRDefault="003577E0" w:rsidP="003577E0">
      <w:pPr>
        <w:pStyle w:val="spip"/>
      </w:pPr>
      <w:r>
        <w:t xml:space="preserve">Hors période électorale, c’est-à-dire jusqu’au 9 février 2014, les interventions des candidats aux municipales sont prises en compte au regard des règles fixées par la délibération du CSA du 21 juillet 2009 relative au principe de pluralisme politique. Celle-ci demande aux éditeurs de services de radio et de télévision de respecter le pluralisme en prenant en compte les interventions du président de la République quand elles relèvent du débat politique national, les interventions des personnalités appartenant à la majorité parlementaire ou au </w:t>
      </w:r>
      <w:bookmarkStart w:id="8" w:name="mot3449"/>
      <w:r>
        <w:fldChar w:fldCharType="begin"/>
      </w:r>
      <w:r>
        <w:instrText xml:space="preserve"> HYPERLINK "http://www.vie-publique.fr/th/glossaire/gouvernement.html" </w:instrText>
      </w:r>
      <w:r>
        <w:fldChar w:fldCharType="separate"/>
      </w:r>
      <w:r>
        <w:rPr>
          <w:rStyle w:val="glmot"/>
          <w:color w:val="0000FF"/>
          <w:u w:val="single"/>
        </w:rPr>
        <w:t>Gouvernement</w:t>
      </w:r>
      <w:r>
        <w:fldChar w:fldCharType="end"/>
      </w:r>
      <w:bookmarkEnd w:id="8"/>
      <w:r>
        <w:t>, les collaborateurs du président de la République. Le temps de parole de l’opposition parlementaire ne peut pas être inférieur à la moitié du total des interventions de la majorité.</w:t>
      </w:r>
    </w:p>
    <w:p w:rsidR="003577E0" w:rsidRDefault="003577E0" w:rsidP="003577E0">
      <w:pPr>
        <w:pStyle w:val="Titre3"/>
      </w:pPr>
      <w:r>
        <w:t>Internet</w:t>
      </w:r>
    </w:p>
    <w:p w:rsidR="003577E0" w:rsidRDefault="003577E0" w:rsidP="003577E0">
      <w:pPr>
        <w:pStyle w:val="spip"/>
      </w:pPr>
      <w:r>
        <w:t>Les candidats ont la possibilité d’ouvrir des sites internet spécifiques pour la campagne électorale, ils peuvent également utiliser leurs sites personnels dans un but de propagande électorale. Les sites interactifs (les blogs) sont assimilés, en l’état actuel de la jurisprudence, à des sites internet ordinaires.</w:t>
      </w:r>
    </w:p>
    <w:p w:rsidR="003577E0" w:rsidRDefault="003577E0" w:rsidP="003577E0">
      <w:pPr>
        <w:pStyle w:val="spip"/>
      </w:pPr>
      <w:r>
        <w:t>Si la publicité commerciale est interdite à des fins de propagande, l’utilisation d’un site internet n’est pas en elle-même considérée comme une publicité commerciale. En revanche, certains procédés couramment utilisés sur Internet sont interdits à ces sites pendant la campagne électorale (référencement payant, achat de liens sponsorisés ou de mots clés). L’affichage de publicités sur des sites de propagande électorale peut contrevenir à la législation sur le financement des campagnes électorales car il peut être assimilé au financement de la campagne par une personne morale (ce financement est interdit).</w:t>
      </w:r>
    </w:p>
    <w:p w:rsidR="003577E0" w:rsidRDefault="003577E0" w:rsidP="003577E0">
      <w:pPr>
        <w:pStyle w:val="spip"/>
      </w:pPr>
      <w:r>
        <w:t>Il est également interdit de diffuser de nouveaux messages à caractère de propagande électorale sur ces sites la veille et le jour du scrutin. Le site non modifié peut cependant rester en ligne.</w:t>
      </w:r>
    </w:p>
    <w:p w:rsidR="003577E0" w:rsidRDefault="003577E0" w:rsidP="003577E0">
      <w:pPr>
        <w:pStyle w:val="Titre3"/>
      </w:pPr>
      <w:r>
        <w:lastRenderedPageBreak/>
        <w:t>Sur la toile publique</w:t>
      </w:r>
    </w:p>
    <w:p w:rsidR="003577E0" w:rsidRDefault="00B90C01" w:rsidP="003577E0">
      <w:pPr>
        <w:numPr>
          <w:ilvl w:val="0"/>
          <w:numId w:val="13"/>
        </w:numPr>
        <w:spacing w:before="100" w:beforeAutospacing="1" w:after="100" w:afterAutospacing="1"/>
      </w:pPr>
      <w:hyperlink r:id="rId16" w:tgtFrame="_blank" w:tooltip="Mémento à l’usage des candidats&amp;nbsp;: Elections municipales et communautaires des 23 et 30 mars 2014&amp;nbsp;: communes de 1000 habitants et plus, Ministère de l’intérieur, Format PDF (1,66 Mo). Nouvelle fenetre" w:history="1">
        <w:r w:rsidR="003577E0">
          <w:rPr>
            <w:rStyle w:val="Lienhypertexte"/>
          </w:rPr>
          <w:t>Mémento à l’usage des candidats : Elections municipales et communautaires des 23 et 30 mars 2014 : communes de 1000 habitants et plus, Ministère de l’intérieur, Format PDF (1,66 Mo)</w:t>
        </w:r>
      </w:hyperlink>
      <w:r w:rsidR="003577E0">
        <w:t xml:space="preserve"> </w:t>
      </w:r>
      <w:r w:rsidR="003577E0">
        <w:rPr>
          <w:noProof/>
          <w:lang w:eastAsia="fr-FR"/>
        </w:rPr>
        <w:drawing>
          <wp:inline distT="0" distB="0" distL="0" distR="0">
            <wp:extent cx="95250" cy="95250"/>
            <wp:effectExtent l="0" t="0" r="0" b="0"/>
            <wp:docPr id="9" name="Image 9"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18" w:tgtFrame="_blank" w:tooltip="Mémento à l’usage des candidats&amp;nbsp;: Elections municipales des 23 et 30 mars 2014&amp;nbsp;: communes de moins de 1000 habitants, Ministère de l’intérieur, Format PDF (1,04 Mo). Nouvelle fenetre" w:history="1">
        <w:r w:rsidR="003577E0">
          <w:rPr>
            <w:rStyle w:val="Lienhypertexte"/>
          </w:rPr>
          <w:t>Mémento à l’usage des candidats : Elections municipales des 23 et 30 mars 2014 : communes de moins de 1000 habitants, Ministère de l’intérieur, Format PDF (1,04 Mo)</w:t>
        </w:r>
      </w:hyperlink>
      <w:r w:rsidR="003577E0">
        <w:t xml:space="preserve"> </w:t>
      </w:r>
      <w:r w:rsidR="003577E0">
        <w:rPr>
          <w:noProof/>
          <w:lang w:eastAsia="fr-FR"/>
        </w:rPr>
        <w:drawing>
          <wp:inline distT="0" distB="0" distL="0" distR="0">
            <wp:extent cx="95250" cy="95250"/>
            <wp:effectExtent l="0" t="0" r="0" b="0"/>
            <wp:docPr id="8" name="Image 8"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19" w:tgtFrame="_blank" w:tooltip="Code électoral. Articles L240 à L246 (Propagande), Légifrance. Nouvelle fenetre" w:history="1">
        <w:r w:rsidR="003577E0">
          <w:rPr>
            <w:rStyle w:val="Lienhypertexte"/>
          </w:rPr>
          <w:t>Code électoral. Articles L240 à L246 (Propagande), Légifrance</w:t>
        </w:r>
      </w:hyperlink>
      <w:r w:rsidR="003577E0">
        <w:t xml:space="preserve"> </w:t>
      </w:r>
      <w:r w:rsidR="003577E0">
        <w:rPr>
          <w:noProof/>
          <w:lang w:eastAsia="fr-FR"/>
        </w:rPr>
        <w:drawing>
          <wp:inline distT="0" distB="0" distL="0" distR="0">
            <wp:extent cx="95250" cy="95250"/>
            <wp:effectExtent l="0" t="0" r="0" b="0"/>
            <wp:docPr id="7" name="Image 7"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20"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3577E0">
          <w:rPr>
            <w:rStyle w:val="Lienhypertexte"/>
          </w:rPr>
          <w:t>Recommandation du 20 novembre 2013 du Conseil supérieur de l’audiovisuel aux services de radio et de télévision en vue de l’élection des conseillers municipaux et des conseillers communautaires les 23 et 30 mars 2014, Légifrance</w:t>
        </w:r>
      </w:hyperlink>
      <w:r w:rsidR="003577E0">
        <w:t xml:space="preserve"> </w:t>
      </w:r>
      <w:r w:rsidR="003577E0">
        <w:rPr>
          <w:noProof/>
          <w:lang w:eastAsia="fr-FR"/>
        </w:rPr>
        <w:drawing>
          <wp:inline distT="0" distB="0" distL="0" distR="0">
            <wp:extent cx="95250" cy="95250"/>
            <wp:effectExtent l="0" t="0" r="0" b="0"/>
            <wp:docPr id="6" name="Image 6"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21" w:tgtFrame="_blank" w:tooltip="Délibération du Conseil supérieur de l’audiovisuel du 4 janvier 2011 relative au principe de pluralisme politique dans les services de radio et de télévision en période électorale, Legifrance. Nouvelle fenetre" w:history="1">
        <w:r w:rsidR="003577E0">
          <w:rPr>
            <w:rStyle w:val="Lienhypertexte"/>
          </w:rPr>
          <w:t>Délibération du Conseil supérieur de l’audiovisuel du 4 janvier 2011 relative au principe de pluralisme politique dans les services de radio et de télévision en période électorale, Legifrance</w:t>
        </w:r>
      </w:hyperlink>
      <w:r w:rsidR="003577E0">
        <w:t xml:space="preserve"> </w:t>
      </w:r>
      <w:r w:rsidR="003577E0">
        <w:rPr>
          <w:noProof/>
          <w:lang w:eastAsia="fr-FR"/>
        </w:rPr>
        <w:drawing>
          <wp:inline distT="0" distB="0" distL="0" distR="0">
            <wp:extent cx="95250" cy="95250"/>
            <wp:effectExtent l="0" t="0" r="0" b="0"/>
            <wp:docPr id="5" name="Image 5"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22" w:tgtFrame="_blank" w:tooltip="Délibération du 21 juillet 2009 relative au principe de pluralisme politique dans les services de radio et de télévision, Conseil supérieur de l’audiovisuel. Nouvelle fenetre" w:history="1">
        <w:r w:rsidR="003577E0">
          <w:rPr>
            <w:rStyle w:val="Lienhypertexte"/>
          </w:rPr>
          <w:t>Délibération du 21 juillet 2009 relative au principe de pluralisme politique dans les services de radio et de télévision, Conseil supérieur de l’audiovisuel</w:t>
        </w:r>
      </w:hyperlink>
      <w:r w:rsidR="003577E0">
        <w:t xml:space="preserve"> </w:t>
      </w:r>
      <w:r w:rsidR="003577E0">
        <w:rPr>
          <w:noProof/>
          <w:lang w:eastAsia="fr-FR"/>
        </w:rPr>
        <w:drawing>
          <wp:inline distT="0" distB="0" distL="0" distR="0">
            <wp:extent cx="95250" cy="95250"/>
            <wp:effectExtent l="0" t="0" r="0" b="0"/>
            <wp:docPr id="4" name="Image 4"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B90C01" w:rsidP="003577E0">
      <w:pPr>
        <w:numPr>
          <w:ilvl w:val="0"/>
          <w:numId w:val="13"/>
        </w:numPr>
        <w:spacing w:before="100" w:beforeAutospacing="1" w:after="100" w:afterAutospacing="1"/>
      </w:pPr>
      <w:hyperlink r:id="rId23" w:tgtFrame="_blank" w:tooltip="Observatoire des élections de la Commission national de l’informatique et des libertés (Cnil), . Nouvelle fenetre" w:history="1">
        <w:r w:rsidR="003577E0">
          <w:rPr>
            <w:rStyle w:val="Lienhypertexte"/>
          </w:rPr>
          <w:t xml:space="preserve">Observatoire des élections de la Commission national de l’informatique et des libertés (Cnil), </w:t>
        </w:r>
      </w:hyperlink>
      <w:r w:rsidR="003577E0">
        <w:rPr>
          <w:noProof/>
          <w:lang w:eastAsia="fr-FR"/>
        </w:rPr>
        <w:drawing>
          <wp:inline distT="0" distB="0" distL="0" distR="0">
            <wp:extent cx="95250" cy="95250"/>
            <wp:effectExtent l="0" t="0" r="0" b="0"/>
            <wp:docPr id="3" name="Image 3" descr="http://www.vie-publique.fr/images/link_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e-publique.fr/images/link_ex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577E0" w:rsidRDefault="003577E0">
      <w:pPr>
        <w:rPr>
          <w:bCs/>
          <w:sz w:val="22"/>
          <w:szCs w:val="36"/>
          <w:lang w:eastAsia="fr-FR"/>
        </w:rPr>
      </w:pPr>
    </w:p>
    <w:p w:rsidR="003577E0" w:rsidRDefault="003577E0">
      <w:pPr>
        <w:rPr>
          <w:bCs/>
          <w:sz w:val="22"/>
          <w:szCs w:val="36"/>
          <w:lang w:eastAsia="fr-FR"/>
        </w:rPr>
      </w:pPr>
      <w:r>
        <w:rPr>
          <w:bCs/>
          <w:sz w:val="22"/>
          <w:szCs w:val="36"/>
          <w:lang w:eastAsia="fr-FR"/>
        </w:rPr>
        <w:br w:type="page"/>
      </w:r>
    </w:p>
    <w:p w:rsidR="003577E0" w:rsidRPr="003577E0" w:rsidRDefault="00B90C01" w:rsidP="003577E0">
      <w:pPr>
        <w:spacing w:before="100" w:beforeAutospacing="1" w:after="100" w:afterAutospacing="1"/>
        <w:outlineLvl w:val="1"/>
        <w:rPr>
          <w:bCs/>
          <w:sz w:val="22"/>
          <w:szCs w:val="36"/>
          <w:lang w:eastAsia="fr-FR"/>
        </w:rPr>
      </w:pPr>
      <w:hyperlink r:id="rId24" w:history="1">
        <w:r w:rsidR="003577E0" w:rsidRPr="003577E0">
          <w:rPr>
            <w:rStyle w:val="Lienhypertexte"/>
            <w:bCs/>
            <w:sz w:val="22"/>
            <w:szCs w:val="36"/>
            <w:lang w:eastAsia="fr-FR"/>
          </w:rPr>
          <w:t>http://www.cap-com.org/content/communication-et-periode-electorale-la-vigilance-s-impose</w:t>
        </w:r>
      </w:hyperlink>
      <w:r w:rsidR="003577E0" w:rsidRPr="003577E0">
        <w:rPr>
          <w:bCs/>
          <w:sz w:val="22"/>
          <w:szCs w:val="36"/>
          <w:lang w:eastAsia="fr-FR"/>
        </w:rPr>
        <w:t xml:space="preserve"> </w:t>
      </w:r>
    </w:p>
    <w:p w:rsidR="003577E0" w:rsidRPr="003577E0" w:rsidRDefault="003577E0" w:rsidP="003577E0">
      <w:pPr>
        <w:spacing w:before="100" w:beforeAutospacing="1" w:after="100" w:afterAutospacing="1"/>
        <w:outlineLvl w:val="1"/>
        <w:rPr>
          <w:b/>
          <w:bCs/>
          <w:sz w:val="36"/>
          <w:szCs w:val="36"/>
          <w:lang w:eastAsia="fr-FR"/>
        </w:rPr>
      </w:pPr>
      <w:r w:rsidRPr="003577E0">
        <w:rPr>
          <w:b/>
          <w:bCs/>
          <w:sz w:val="36"/>
          <w:szCs w:val="36"/>
          <w:lang w:eastAsia="fr-FR"/>
        </w:rPr>
        <w:t xml:space="preserve">Communication en période électorale : rappel des règles de référence </w:t>
      </w:r>
    </w:p>
    <w:p w:rsidR="003577E0" w:rsidRPr="003577E0" w:rsidRDefault="003577E0" w:rsidP="003577E0">
      <w:pPr>
        <w:rPr>
          <w:lang w:eastAsia="fr-FR"/>
        </w:rPr>
      </w:pPr>
      <w:r>
        <w:rPr>
          <w:noProof/>
          <w:lang w:eastAsia="fr-FR"/>
        </w:rPr>
        <w:drawing>
          <wp:inline distT="0" distB="0" distL="0" distR="0">
            <wp:extent cx="5924550" cy="3238500"/>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4550" cy="3238500"/>
                    </a:xfrm>
                    <a:prstGeom prst="rect">
                      <a:avLst/>
                    </a:prstGeom>
                    <a:noFill/>
                    <a:ln>
                      <a:noFill/>
                    </a:ln>
                  </pic:spPr>
                </pic:pic>
              </a:graphicData>
            </a:graphic>
          </wp:inline>
        </w:drawing>
      </w:r>
    </w:p>
    <w:p w:rsidR="003577E0" w:rsidRPr="003577E0" w:rsidRDefault="003577E0" w:rsidP="003577E0">
      <w:pPr>
        <w:spacing w:before="100" w:beforeAutospacing="1" w:after="100" w:afterAutospacing="1"/>
        <w:rPr>
          <w:lang w:eastAsia="fr-FR"/>
        </w:rPr>
      </w:pPr>
      <w:r w:rsidRPr="003577E0">
        <w:rPr>
          <w:lang w:eastAsia="fr-FR"/>
        </w:rPr>
        <w:t xml:space="preserve">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w:t>
      </w:r>
      <w:proofErr w:type="spellStart"/>
      <w:r w:rsidRPr="003577E0">
        <w:rPr>
          <w:lang w:eastAsia="fr-FR"/>
        </w:rPr>
        <w:t>Cap’Com</w:t>
      </w:r>
      <w:proofErr w:type="spellEnd"/>
      <w:r w:rsidRPr="003577E0">
        <w:rPr>
          <w:lang w:eastAsia="fr-FR"/>
        </w:rPr>
        <w:t xml:space="preserve"> va développer pour accompagner les communicants pendant toute cette période.</w:t>
      </w:r>
    </w:p>
    <w:p w:rsidR="003577E0" w:rsidRPr="003577E0" w:rsidRDefault="003577E0" w:rsidP="003577E0">
      <w:pPr>
        <w:spacing w:before="100" w:beforeAutospacing="1" w:after="100" w:afterAutospacing="1"/>
        <w:rPr>
          <w:lang w:eastAsia="fr-FR"/>
        </w:rPr>
      </w:pPr>
      <w:r w:rsidRPr="003577E0">
        <w:rPr>
          <w:lang w:eastAsia="fr-FR"/>
        </w:rPr>
        <w:t xml:space="preserve">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w:t>
      </w:r>
      <w:proofErr w:type="spellStart"/>
      <w:r w:rsidRPr="003577E0">
        <w:rPr>
          <w:lang w:eastAsia="fr-FR"/>
        </w:rPr>
        <w:t>Cap’Com</w:t>
      </w:r>
      <w:proofErr w:type="spellEnd"/>
      <w:r w:rsidRPr="003577E0">
        <w:rPr>
          <w:lang w:eastAsia="fr-FR"/>
        </w:rPr>
        <w:t xml:space="preserve">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26" w:tgtFrame="_blank" w:history="1">
        <w:r w:rsidRPr="003577E0">
          <w:rPr>
            <w:color w:val="0000FF"/>
            <w:u w:val="single"/>
            <w:lang w:eastAsia="fr-FR"/>
          </w:rPr>
          <w:t xml:space="preserve">Forum </w:t>
        </w:r>
        <w:proofErr w:type="spellStart"/>
        <w:r w:rsidRPr="003577E0">
          <w:rPr>
            <w:color w:val="0000FF"/>
            <w:u w:val="single"/>
            <w:lang w:eastAsia="fr-FR"/>
          </w:rPr>
          <w:t>Cap’Com</w:t>
        </w:r>
        <w:proofErr w:type="spellEnd"/>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w:t>
      </w:r>
      <w:proofErr w:type="spellStart"/>
      <w:r w:rsidRPr="003577E0">
        <w:rPr>
          <w:lang w:eastAsia="fr-FR"/>
        </w:rPr>
        <w:t>Cap’Com</w:t>
      </w:r>
      <w:proofErr w:type="spellEnd"/>
      <w:r w:rsidRPr="003577E0">
        <w:rPr>
          <w:lang w:eastAsia="fr-FR"/>
        </w:rPr>
        <w:t xml:space="preserve"> Plus –le bouquet de services quotidiens pour le communicant public – vont permettre à chacun de prendre en compte les risques et de continuer au mieux sa communication institutionnelle.</w:t>
      </w:r>
    </w:p>
    <w:p w:rsidR="003577E0" w:rsidRPr="003577E0" w:rsidRDefault="003577E0" w:rsidP="003577E0">
      <w:pPr>
        <w:spacing w:before="100" w:beforeAutospacing="1" w:after="100" w:afterAutospacing="1"/>
        <w:rPr>
          <w:lang w:eastAsia="fr-FR"/>
        </w:rPr>
      </w:pPr>
      <w:r w:rsidRPr="003577E0">
        <w:rPr>
          <w:b/>
          <w:bCs/>
          <w:i/>
          <w:iCs/>
          <w:lang w:eastAsia="fr-FR"/>
        </w:rPr>
        <w:t>L’applicabilité de l’article L. 52-8 du Code électoral à la communication institutionnelle.</w:t>
      </w:r>
    </w:p>
    <w:p w:rsidR="003577E0" w:rsidRPr="003577E0" w:rsidRDefault="003577E0" w:rsidP="003577E0">
      <w:pPr>
        <w:spacing w:before="100" w:beforeAutospacing="1" w:after="100" w:afterAutospacing="1"/>
        <w:rPr>
          <w:lang w:eastAsia="fr-FR"/>
        </w:rPr>
      </w:pPr>
      <w:r w:rsidRPr="003577E0">
        <w:rPr>
          <w:lang w:eastAsia="fr-FR"/>
        </w:rPr>
        <w:lastRenderedPageBreak/>
        <w:t>L’article L.52-8 du Code électoral précise que :</w:t>
      </w:r>
    </w:p>
    <w:p w:rsidR="003577E0" w:rsidRPr="003577E0" w:rsidRDefault="003577E0" w:rsidP="003577E0">
      <w:pPr>
        <w:spacing w:before="100" w:beforeAutospacing="1" w:after="100" w:afterAutospacing="1"/>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3577E0">
      <w:pPr>
        <w:spacing w:before="100" w:beforeAutospacing="1" w:after="100" w:afterAutospacing="1"/>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3577E0" w:rsidRPr="003577E0" w:rsidRDefault="003577E0" w:rsidP="003577E0">
      <w:pPr>
        <w:spacing w:before="100" w:beforeAutospacing="1" w:after="100" w:afterAutospacing="1"/>
        <w:rPr>
          <w:lang w:eastAsia="fr-FR"/>
        </w:rPr>
      </w:pPr>
      <w:r w:rsidRPr="003577E0">
        <w:rPr>
          <w:lang w:eastAsia="fr-FR"/>
        </w:rPr>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3577E0">
      <w:pPr>
        <w:spacing w:before="100" w:beforeAutospacing="1" w:after="100" w:afterAutospacing="1"/>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3577E0">
      <w:pPr>
        <w:spacing w:before="100" w:beforeAutospacing="1" w:after="100" w:afterAutospacing="1"/>
        <w:rPr>
          <w:lang w:eastAsia="fr-FR"/>
        </w:rPr>
      </w:pPr>
      <w:r w:rsidRPr="003577E0">
        <w:rPr>
          <w:lang w:eastAsia="fr-FR"/>
        </w:rPr>
        <w:t>L’article L. 52-1 alinéa 1</w:t>
      </w:r>
      <w:r w:rsidRPr="003577E0">
        <w:rPr>
          <w:vertAlign w:val="superscript"/>
          <w:lang w:eastAsia="fr-FR"/>
        </w:rPr>
        <w:t>er</w:t>
      </w:r>
      <w:r w:rsidRPr="003577E0">
        <w:rPr>
          <w:lang w:eastAsia="fr-FR"/>
        </w:rPr>
        <w:t>  du Code électoral précise :</w:t>
      </w:r>
    </w:p>
    <w:p w:rsidR="003577E0" w:rsidRPr="003577E0" w:rsidRDefault="003577E0" w:rsidP="003577E0">
      <w:pPr>
        <w:spacing w:before="100" w:beforeAutospacing="1" w:after="100" w:afterAutospacing="1"/>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w:t>
      </w:r>
      <w:proofErr w:type="spellStart"/>
      <w:r w:rsidRPr="003577E0">
        <w:rPr>
          <w:i/>
          <w:iCs/>
          <w:lang w:eastAsia="fr-FR"/>
        </w:rPr>
        <w:t>celle ci</w:t>
      </w:r>
      <w:proofErr w:type="spellEnd"/>
      <w:r w:rsidRPr="003577E0">
        <w:rPr>
          <w:i/>
          <w:iCs/>
          <w:lang w:eastAsia="fr-FR"/>
        </w:rPr>
        <w:t xml:space="preserve">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3577E0" w:rsidRPr="003577E0" w:rsidRDefault="003577E0" w:rsidP="003577E0">
      <w:pPr>
        <w:spacing w:before="100" w:beforeAutospacing="1" w:after="100" w:afterAutospacing="1"/>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3577E0">
      <w:pPr>
        <w:spacing w:before="100" w:beforeAutospacing="1" w:after="100" w:afterAutospacing="1"/>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3577E0">
      <w:pPr>
        <w:spacing w:before="100" w:beforeAutospacing="1" w:after="100" w:afterAutospacing="1"/>
        <w:ind w:left="567"/>
        <w:rPr>
          <w:lang w:eastAsia="fr-FR"/>
        </w:rPr>
      </w:pPr>
      <w:r w:rsidRPr="003577E0">
        <w:rPr>
          <w:b/>
          <w:bCs/>
          <w:i/>
          <w:iCs/>
          <w:lang w:eastAsia="fr-FR"/>
        </w:rPr>
        <w:t xml:space="preserve">(CE, 5 juin 1996, </w:t>
      </w:r>
      <w:proofErr w:type="spellStart"/>
      <w:r w:rsidRPr="003577E0">
        <w:rPr>
          <w:b/>
          <w:bCs/>
          <w:i/>
          <w:iCs/>
          <w:lang w:eastAsia="fr-FR"/>
        </w:rPr>
        <w:t>Cne</w:t>
      </w:r>
      <w:proofErr w:type="spellEnd"/>
      <w:r w:rsidRPr="003577E0">
        <w:rPr>
          <w:b/>
          <w:bCs/>
          <w:i/>
          <w:iCs/>
          <w:lang w:eastAsia="fr-FR"/>
        </w:rPr>
        <w:t xml:space="preserve"> de Morhange, </w:t>
      </w:r>
      <w:proofErr w:type="spellStart"/>
      <w:r w:rsidRPr="003577E0">
        <w:rPr>
          <w:b/>
          <w:bCs/>
          <w:i/>
          <w:iCs/>
          <w:lang w:eastAsia="fr-FR"/>
        </w:rPr>
        <w:t>req</w:t>
      </w:r>
      <w:proofErr w:type="spellEnd"/>
      <w:r w:rsidRPr="003577E0">
        <w:rPr>
          <w:b/>
          <w:bCs/>
          <w:i/>
          <w:iCs/>
          <w:lang w:eastAsia="fr-FR"/>
        </w:rPr>
        <w:t>. n° 173642)</w:t>
      </w:r>
    </w:p>
    <w:p w:rsidR="003577E0" w:rsidRPr="003577E0" w:rsidRDefault="003577E0" w:rsidP="003577E0">
      <w:pPr>
        <w:spacing w:before="100" w:beforeAutospacing="1" w:after="100" w:afterAutospacing="1"/>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3577E0">
      <w:pPr>
        <w:spacing w:before="100" w:beforeAutospacing="1" w:after="100" w:afterAutospacing="1"/>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3577E0">
      <w:pPr>
        <w:spacing w:before="100" w:beforeAutospacing="1" w:after="100" w:afterAutospacing="1"/>
        <w:rPr>
          <w:lang w:eastAsia="fr-FR"/>
        </w:rPr>
      </w:pPr>
      <w:r w:rsidRPr="003577E0">
        <w:rPr>
          <w:b/>
          <w:bCs/>
          <w:i/>
          <w:iCs/>
          <w:lang w:eastAsia="fr-FR"/>
        </w:rPr>
        <w:lastRenderedPageBreak/>
        <w:t xml:space="preserve"> La définition d’une campagne de promotion publicitaire d’une collectivité intéressée par le scrutin. </w:t>
      </w:r>
    </w:p>
    <w:p w:rsidR="003577E0" w:rsidRPr="003577E0" w:rsidRDefault="003577E0" w:rsidP="003577E0">
      <w:pPr>
        <w:spacing w:before="100" w:beforeAutospacing="1" w:after="100" w:afterAutospacing="1"/>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3577E0">
      <w:pPr>
        <w:spacing w:before="100" w:beforeAutospacing="1" w:after="100" w:afterAutospacing="1"/>
        <w:ind w:left="567"/>
        <w:rPr>
          <w:lang w:eastAsia="fr-FR"/>
        </w:rPr>
      </w:pPr>
      <w:r w:rsidRPr="003577E0">
        <w:rPr>
          <w:b/>
          <w:bCs/>
          <w:i/>
          <w:iCs/>
          <w:lang w:eastAsia="fr-FR"/>
        </w:rPr>
        <w:t>(</w:t>
      </w:r>
      <w:proofErr w:type="spellStart"/>
      <w:r w:rsidRPr="003577E0">
        <w:rPr>
          <w:b/>
          <w:bCs/>
          <w:i/>
          <w:iCs/>
          <w:lang w:eastAsia="fr-FR"/>
        </w:rPr>
        <w:t>Rép</w:t>
      </w:r>
      <w:proofErr w:type="spellEnd"/>
      <w:r w:rsidRPr="003577E0">
        <w:rPr>
          <w:b/>
          <w:bCs/>
          <w:i/>
          <w:iCs/>
          <w:lang w:eastAsia="fr-FR"/>
        </w:rPr>
        <w:t>. min. n° 14137, JO Sénat Q du 18/04/1991, p. 817).</w:t>
      </w:r>
    </w:p>
    <w:p w:rsidR="003577E0" w:rsidRPr="003577E0" w:rsidRDefault="003577E0" w:rsidP="003577E0">
      <w:pPr>
        <w:spacing w:before="100" w:beforeAutospacing="1" w:after="100" w:afterAutospacing="1"/>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3577E0">
      <w:pPr>
        <w:numPr>
          <w:ilvl w:val="0"/>
          <w:numId w:val="1"/>
        </w:numPr>
        <w:spacing w:before="100" w:beforeAutospacing="1" w:after="100" w:afterAutospacing="1"/>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3577E0">
      <w:pPr>
        <w:numPr>
          <w:ilvl w:val="0"/>
          <w:numId w:val="1"/>
        </w:numPr>
        <w:spacing w:before="100" w:beforeAutospacing="1" w:after="100" w:afterAutospacing="1"/>
        <w:rPr>
          <w:lang w:eastAsia="fr-FR"/>
        </w:rPr>
      </w:pPr>
      <w:r w:rsidRPr="003577E0">
        <w:rPr>
          <w:lang w:eastAsia="fr-FR"/>
        </w:rPr>
        <w:t xml:space="preserve">elle dresse un bilan avantageux de l’action menée par la municipalité </w:t>
      </w:r>
      <w:r w:rsidRPr="003577E0">
        <w:rPr>
          <w:b/>
          <w:bCs/>
          <w:i/>
          <w:iCs/>
          <w:lang w:eastAsia="fr-FR"/>
        </w:rPr>
        <w:t xml:space="preserve">(CE, 5 juin 1996, Elections municipales de Morhange : Rec. CE, p. 196 – CE, 21 févr. 1997, Mersch, Elections municipales de Longuyon, </w:t>
      </w:r>
      <w:proofErr w:type="spellStart"/>
      <w:r w:rsidRPr="003577E0">
        <w:rPr>
          <w:b/>
          <w:bCs/>
          <w:i/>
          <w:iCs/>
          <w:lang w:eastAsia="fr-FR"/>
        </w:rPr>
        <w:t>req</w:t>
      </w:r>
      <w:proofErr w:type="spellEnd"/>
      <w:r w:rsidRPr="003577E0">
        <w:rPr>
          <w:b/>
          <w:bCs/>
          <w:i/>
          <w:iCs/>
          <w:lang w:eastAsia="fr-FR"/>
        </w:rPr>
        <w:t>. n° 171993)</w:t>
      </w:r>
      <w:r w:rsidRPr="003577E0">
        <w:rPr>
          <w:lang w:eastAsia="fr-FR"/>
        </w:rPr>
        <w:t> ;</w:t>
      </w:r>
    </w:p>
    <w:p w:rsidR="003577E0" w:rsidRPr="003577E0" w:rsidRDefault="003577E0" w:rsidP="003577E0">
      <w:pPr>
        <w:numPr>
          <w:ilvl w:val="0"/>
          <w:numId w:val="1"/>
        </w:numPr>
        <w:spacing w:before="100" w:beforeAutospacing="1" w:after="100" w:afterAutospacing="1"/>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w:t>
      </w:r>
      <w:proofErr w:type="gramStart"/>
      <w:r w:rsidRPr="003577E0">
        <w:rPr>
          <w:b/>
          <w:bCs/>
          <w:i/>
          <w:iCs/>
          <w:lang w:eastAsia="fr-FR"/>
        </w:rPr>
        <w:t>CE</w:t>
      </w:r>
      <w:proofErr w:type="gramEnd"/>
      <w:r w:rsidRPr="003577E0">
        <w:rPr>
          <w:b/>
          <w:bCs/>
          <w:i/>
          <w:iCs/>
          <w:lang w:eastAsia="fr-FR"/>
        </w:rPr>
        <w:t xml:space="preserve"> </w:t>
      </w:r>
      <w:proofErr w:type="spellStart"/>
      <w:r w:rsidRPr="003577E0">
        <w:rPr>
          <w:b/>
          <w:bCs/>
          <w:i/>
          <w:iCs/>
          <w:lang w:eastAsia="fr-FR"/>
        </w:rPr>
        <w:t>Ass</w:t>
      </w:r>
      <w:proofErr w:type="spellEnd"/>
      <w:r w:rsidRPr="003577E0">
        <w:rPr>
          <w:b/>
          <w:bCs/>
          <w:i/>
          <w:iCs/>
          <w:lang w:eastAsia="fr-FR"/>
        </w:rPr>
        <w:t>., 18 déc. 1996, Elections dans le 16e arrondissement des membres du Conseil de Paris et du Conseil d’arrondissement : Rec. CE, p. 501).</w:t>
      </w:r>
    </w:p>
    <w:p w:rsidR="003577E0" w:rsidRPr="003577E0" w:rsidRDefault="003577E0" w:rsidP="003577E0">
      <w:pPr>
        <w:spacing w:before="100" w:beforeAutospacing="1" w:after="100" w:afterAutospacing="1"/>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3577E0">
      <w:pPr>
        <w:spacing w:before="100" w:beforeAutospacing="1" w:after="100" w:afterAutospacing="1"/>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3577E0">
      <w:pPr>
        <w:spacing w:before="100" w:beforeAutospacing="1" w:after="100" w:afterAutospacing="1"/>
        <w:rPr>
          <w:lang w:eastAsia="fr-FR"/>
        </w:rPr>
      </w:pPr>
      <w:r w:rsidRPr="003577E0">
        <w:rPr>
          <w:lang w:eastAsia="fr-FR"/>
        </w:rPr>
        <w:t>En période électorale, il est tout à fait possible d’informer sur les réalisations et la gestion de la collectivité, dans le cadre d’une campagne d’information (</w:t>
      </w:r>
      <w:r w:rsidRPr="003577E0">
        <w:rPr>
          <w:b/>
          <w:bCs/>
          <w:lang w:eastAsia="fr-FR"/>
        </w:rPr>
        <w:t xml:space="preserve">CE, 9 oct. 1996, Elections municipales de Cherbourg, </w:t>
      </w:r>
      <w:proofErr w:type="spellStart"/>
      <w:r w:rsidRPr="003577E0">
        <w:rPr>
          <w:b/>
          <w:bCs/>
          <w:lang w:eastAsia="fr-FR"/>
        </w:rPr>
        <w:t>req</w:t>
      </w:r>
      <w:proofErr w:type="spellEnd"/>
      <w:r w:rsidRPr="003577E0">
        <w:rPr>
          <w:b/>
          <w:bCs/>
          <w:lang w:eastAsia="fr-FR"/>
        </w:rPr>
        <w:t xml:space="preserve">. n° 176893, 176795 et 176824 - CE, 21 déc. 2001, Elections municipales de </w:t>
      </w:r>
      <w:proofErr w:type="spellStart"/>
      <w:r w:rsidRPr="003577E0">
        <w:rPr>
          <w:b/>
          <w:bCs/>
          <w:lang w:eastAsia="fr-FR"/>
        </w:rPr>
        <w:t>Guerchy</w:t>
      </w:r>
      <w:proofErr w:type="spellEnd"/>
      <w:r w:rsidRPr="003577E0">
        <w:rPr>
          <w:b/>
          <w:bCs/>
          <w:lang w:eastAsia="fr-FR"/>
        </w:rPr>
        <w:t xml:space="preserve">, </w:t>
      </w:r>
      <w:proofErr w:type="spellStart"/>
      <w:r w:rsidRPr="003577E0">
        <w:rPr>
          <w:b/>
          <w:bCs/>
          <w:lang w:eastAsia="fr-FR"/>
        </w:rPr>
        <w:t>req</w:t>
      </w:r>
      <w:proofErr w:type="spellEnd"/>
      <w:r w:rsidRPr="003577E0">
        <w:rPr>
          <w:b/>
          <w:bCs/>
          <w:lang w:eastAsia="fr-FR"/>
        </w:rPr>
        <w:t>. n° 234977)</w:t>
      </w:r>
      <w:r w:rsidRPr="003577E0">
        <w:rPr>
          <w:lang w:eastAsia="fr-FR"/>
        </w:rPr>
        <w:t>.</w:t>
      </w:r>
    </w:p>
    <w:p w:rsidR="003577E0" w:rsidRPr="003577E0" w:rsidRDefault="003577E0" w:rsidP="003577E0">
      <w:pPr>
        <w:spacing w:before="100" w:beforeAutospacing="1" w:after="100" w:afterAutospacing="1"/>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3577E0">
      <w:pPr>
        <w:spacing w:before="100" w:beforeAutospacing="1" w:after="100" w:afterAutospacing="1"/>
        <w:ind w:left="567"/>
        <w:rPr>
          <w:lang w:eastAsia="fr-FR"/>
        </w:rPr>
      </w:pPr>
      <w:r w:rsidRPr="003577E0">
        <w:rPr>
          <w:lang w:eastAsia="fr-FR"/>
        </w:rPr>
        <w:lastRenderedPageBreak/>
        <w:t>(</w:t>
      </w:r>
      <w:r w:rsidRPr="003577E0">
        <w:rPr>
          <w:b/>
          <w:bCs/>
          <w:i/>
          <w:iCs/>
          <w:lang w:eastAsia="fr-FR"/>
        </w:rPr>
        <w:t xml:space="preserve">Cons. </w:t>
      </w:r>
      <w:proofErr w:type="spellStart"/>
      <w:r w:rsidRPr="003577E0">
        <w:rPr>
          <w:b/>
          <w:bCs/>
          <w:i/>
          <w:iCs/>
          <w:lang w:eastAsia="fr-FR"/>
        </w:rPr>
        <w:t>const</w:t>
      </w:r>
      <w:proofErr w:type="spellEnd"/>
      <w:r w:rsidRPr="003577E0">
        <w:rPr>
          <w:b/>
          <w:bCs/>
          <w:i/>
          <w:iCs/>
          <w:lang w:eastAsia="fr-FR"/>
        </w:rPr>
        <w:t>., 4 nov. 1993, n° 93-1265 et 93-1266, A.N., Rhône (2e circ.) : JO 14 nov. 1993, p. 15746).</w:t>
      </w:r>
    </w:p>
    <w:p w:rsidR="003577E0" w:rsidRPr="003577E0" w:rsidRDefault="003577E0" w:rsidP="003577E0">
      <w:pPr>
        <w:spacing w:before="100" w:beforeAutospacing="1" w:after="100" w:afterAutospacing="1"/>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3577E0" w:rsidRPr="003577E0" w:rsidRDefault="003577E0" w:rsidP="003577E0">
      <w:pPr>
        <w:spacing w:before="100" w:beforeAutospacing="1" w:after="100" w:afterAutospacing="1"/>
        <w:ind w:left="567"/>
        <w:rPr>
          <w:lang w:eastAsia="fr-FR"/>
        </w:rPr>
      </w:pPr>
      <w:r w:rsidRPr="003577E0">
        <w:rPr>
          <w:b/>
          <w:bCs/>
          <w:i/>
          <w:iCs/>
          <w:lang w:eastAsia="fr-FR"/>
        </w:rPr>
        <w:t xml:space="preserve">(CE, 7 juill. 1993, Roustan, </w:t>
      </w:r>
      <w:proofErr w:type="spellStart"/>
      <w:r w:rsidRPr="003577E0">
        <w:rPr>
          <w:b/>
          <w:bCs/>
          <w:i/>
          <w:iCs/>
          <w:lang w:eastAsia="fr-FR"/>
        </w:rPr>
        <w:t>req</w:t>
      </w:r>
      <w:proofErr w:type="spellEnd"/>
      <w:r w:rsidRPr="003577E0">
        <w:rPr>
          <w:b/>
          <w:bCs/>
          <w:i/>
          <w:iCs/>
          <w:lang w:eastAsia="fr-FR"/>
        </w:rPr>
        <w:t xml:space="preserve">. n° 142798 - CE, 6 mars 2002, Elections municipales de Bagnères-de-Luchon, </w:t>
      </w:r>
      <w:proofErr w:type="spellStart"/>
      <w:r w:rsidRPr="003577E0">
        <w:rPr>
          <w:b/>
          <w:bCs/>
          <w:i/>
          <w:iCs/>
          <w:lang w:eastAsia="fr-FR"/>
        </w:rPr>
        <w:t>req</w:t>
      </w:r>
      <w:proofErr w:type="spellEnd"/>
      <w:r w:rsidRPr="003577E0">
        <w:rPr>
          <w:b/>
          <w:bCs/>
          <w:i/>
          <w:iCs/>
          <w:lang w:eastAsia="fr-FR"/>
        </w:rPr>
        <w:t xml:space="preserve">. n° 235950). </w:t>
      </w:r>
    </w:p>
    <w:p w:rsidR="003577E0" w:rsidRPr="003577E0" w:rsidRDefault="003577E0" w:rsidP="003577E0">
      <w:pPr>
        <w:spacing w:before="100" w:beforeAutospacing="1" w:after="100" w:afterAutospacing="1"/>
        <w:rPr>
          <w:lang w:eastAsia="fr-FR"/>
        </w:rPr>
      </w:pPr>
      <w:r w:rsidRPr="003577E0">
        <w:rPr>
          <w:lang w:eastAsia="fr-FR"/>
        </w:rPr>
        <w:t xml:space="preserve">Le caractère touristique, économique ou commercial d’une campagne est toutefois directement lié aux destinataires de l’action de communication : ce sont la nature et l’objet de l’action qui la </w:t>
      </w:r>
      <w:proofErr w:type="gramStart"/>
      <w:r w:rsidRPr="003577E0">
        <w:rPr>
          <w:lang w:eastAsia="fr-FR"/>
        </w:rPr>
        <w:t>rendent</w:t>
      </w:r>
      <w:proofErr w:type="gramEnd"/>
      <w:r w:rsidRPr="003577E0">
        <w:rPr>
          <w:lang w:eastAsia="fr-FR"/>
        </w:rPr>
        <w:t xml:space="preserve">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3577E0">
      <w:pPr>
        <w:spacing w:before="100" w:beforeAutospacing="1" w:after="100" w:afterAutospacing="1"/>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 xml:space="preserve">CE, 21 déc. 2001, Elections municipales de Chasse-sur-Rhône, </w:t>
      </w:r>
      <w:proofErr w:type="spellStart"/>
      <w:r w:rsidRPr="003577E0">
        <w:rPr>
          <w:b/>
          <w:bCs/>
          <w:i/>
          <w:iCs/>
          <w:lang w:eastAsia="fr-FR"/>
        </w:rPr>
        <w:t>req</w:t>
      </w:r>
      <w:proofErr w:type="spellEnd"/>
      <w:r w:rsidRPr="003577E0">
        <w:rPr>
          <w:b/>
          <w:bCs/>
          <w:i/>
          <w:iCs/>
          <w:lang w:eastAsia="fr-FR"/>
        </w:rPr>
        <w:t>.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3577E0">
      <w:pPr>
        <w:spacing w:before="100" w:beforeAutospacing="1" w:after="100" w:afterAutospacing="1"/>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3577E0">
      <w:pPr>
        <w:spacing w:before="100" w:beforeAutospacing="1" w:after="100" w:afterAutospacing="1"/>
        <w:rPr>
          <w:lang w:eastAsia="fr-FR"/>
        </w:rPr>
      </w:pPr>
      <w:r w:rsidRPr="003577E0">
        <w:rPr>
          <w:b/>
          <w:bCs/>
          <w:i/>
          <w:iCs/>
          <w:lang w:eastAsia="fr-FR"/>
        </w:rPr>
        <w:t>La distinction entre communication institutionnelle et propagande électorale.</w:t>
      </w:r>
    </w:p>
    <w:p w:rsidR="003577E0" w:rsidRPr="003577E0" w:rsidRDefault="003577E0" w:rsidP="003577E0">
      <w:pPr>
        <w:spacing w:before="100" w:beforeAutospacing="1" w:after="100" w:afterAutospacing="1"/>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3577E0">
      <w:pPr>
        <w:spacing w:before="100" w:beforeAutospacing="1" w:after="100" w:afterAutospacing="1"/>
        <w:rPr>
          <w:lang w:eastAsia="fr-FR"/>
        </w:rPr>
      </w:pPr>
      <w:r w:rsidRPr="003577E0">
        <w:rPr>
          <w:lang w:eastAsia="fr-FR"/>
        </w:rPr>
        <w:t xml:space="preserve">Dans chaque cas, le juge va donc s’interroger sur le caractère électoral ou non de l’action de communication. La jurisprudence a donc été amenée à dégager quatre principes qui </w:t>
      </w:r>
      <w:r w:rsidRPr="003577E0">
        <w:rPr>
          <w:lang w:eastAsia="fr-FR"/>
        </w:rPr>
        <w:lastRenderedPageBreak/>
        <w:t>constituent un faisceau d’indices de la régularité ou non des actions de communication : l’antériorité, la régularité, l’identité et la neutralité.</w:t>
      </w:r>
    </w:p>
    <w:p w:rsidR="003577E0" w:rsidRPr="003577E0" w:rsidRDefault="003577E0" w:rsidP="003577E0">
      <w:pPr>
        <w:numPr>
          <w:ilvl w:val="0"/>
          <w:numId w:val="2"/>
        </w:numPr>
        <w:spacing w:before="100" w:beforeAutospacing="1" w:after="100" w:afterAutospacing="1"/>
        <w:ind w:left="1080"/>
        <w:rPr>
          <w:lang w:eastAsia="fr-FR"/>
        </w:rPr>
      </w:pPr>
      <w:r w:rsidRPr="003577E0">
        <w:rPr>
          <w:i/>
          <w:iCs/>
          <w:lang w:eastAsia="fr-FR"/>
        </w:rPr>
        <w:t>Le principe de l’antériorité.</w:t>
      </w:r>
    </w:p>
    <w:p w:rsidR="003577E0" w:rsidRPr="003577E0" w:rsidRDefault="003577E0" w:rsidP="003577E0">
      <w:pPr>
        <w:spacing w:before="100" w:beforeAutospacing="1" w:after="100" w:afterAutospacing="1"/>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3577E0">
      <w:pPr>
        <w:spacing w:before="100" w:beforeAutospacing="1" w:after="100" w:afterAutospacing="1"/>
        <w:rPr>
          <w:lang w:eastAsia="fr-FR"/>
        </w:rPr>
      </w:pPr>
      <w:r w:rsidRPr="003577E0">
        <w:rPr>
          <w:lang w:eastAsia="fr-FR"/>
        </w:rPr>
        <w:t xml:space="preserve">Ce que le juge de l’élection apprécie dans un premier temps c’est le lien qui pourrait être établi entre l’élection et la création de cette nouvelle action de communication. Il sera </w:t>
      </w:r>
      <w:proofErr w:type="spellStart"/>
      <w:r w:rsidRPr="003577E0">
        <w:rPr>
          <w:lang w:eastAsia="fr-FR"/>
        </w:rPr>
        <w:t>amener</w:t>
      </w:r>
      <w:proofErr w:type="spellEnd"/>
      <w:r w:rsidRPr="003577E0">
        <w:rPr>
          <w:lang w:eastAsia="fr-FR"/>
        </w:rPr>
        <w:t xml:space="preserve"> à réintégrer dans le compte de campagne du candidat, tout ou partie de la dépense liée à cette création dans l’hypothèse </w:t>
      </w:r>
      <w:proofErr w:type="spellStart"/>
      <w:r w:rsidRPr="003577E0">
        <w:rPr>
          <w:lang w:eastAsia="fr-FR"/>
        </w:rPr>
        <w:t>ou</w:t>
      </w:r>
      <w:proofErr w:type="spellEnd"/>
      <w:r w:rsidRPr="003577E0">
        <w:rPr>
          <w:lang w:eastAsia="fr-FR"/>
        </w:rPr>
        <w:t xml:space="preserve"> rien ne justifie la mise en place d’une action de communication.</w:t>
      </w:r>
    </w:p>
    <w:p w:rsidR="003577E0" w:rsidRPr="003577E0" w:rsidRDefault="003577E0" w:rsidP="003577E0">
      <w:pPr>
        <w:numPr>
          <w:ilvl w:val="0"/>
          <w:numId w:val="3"/>
        </w:numPr>
        <w:spacing w:before="100" w:beforeAutospacing="1" w:after="100" w:afterAutospacing="1"/>
        <w:ind w:left="1080"/>
        <w:rPr>
          <w:lang w:eastAsia="fr-FR"/>
        </w:rPr>
      </w:pPr>
      <w:r w:rsidRPr="003577E0">
        <w:rPr>
          <w:i/>
          <w:iCs/>
          <w:lang w:eastAsia="fr-FR"/>
        </w:rPr>
        <w:t>Le principe de la régularité.</w:t>
      </w:r>
    </w:p>
    <w:p w:rsidR="003577E0" w:rsidRPr="003577E0" w:rsidRDefault="003577E0" w:rsidP="003577E0">
      <w:pPr>
        <w:spacing w:before="100" w:beforeAutospacing="1" w:after="100" w:afterAutospacing="1"/>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3577E0">
      <w:pPr>
        <w:numPr>
          <w:ilvl w:val="0"/>
          <w:numId w:val="4"/>
        </w:numPr>
        <w:spacing w:before="100" w:beforeAutospacing="1" w:after="100" w:afterAutospacing="1"/>
        <w:ind w:left="1080"/>
        <w:rPr>
          <w:lang w:eastAsia="fr-FR"/>
        </w:rPr>
      </w:pPr>
      <w:r w:rsidRPr="003577E0">
        <w:rPr>
          <w:i/>
          <w:iCs/>
          <w:lang w:eastAsia="fr-FR"/>
        </w:rPr>
        <w:t>Le principe de l’identité de la forme du support.</w:t>
      </w:r>
    </w:p>
    <w:p w:rsidR="003577E0" w:rsidRPr="003577E0" w:rsidRDefault="003577E0" w:rsidP="003577E0">
      <w:pPr>
        <w:spacing w:before="100" w:beforeAutospacing="1" w:after="100" w:afterAutospacing="1"/>
        <w:rPr>
          <w:lang w:eastAsia="fr-FR"/>
        </w:rPr>
      </w:pPr>
      <w:r w:rsidRPr="003577E0">
        <w:rPr>
          <w:lang w:eastAsia="fr-FR"/>
        </w:rPr>
        <w:t>La forme d’un journal, comme tout autre support de communication utilisé par la collectivité, ne peut être modifiée avant les élections et ce notamment en terme de pagination, rubrique, charte graphique, diffusion,… sous peine de sanctions.</w:t>
      </w:r>
    </w:p>
    <w:p w:rsidR="003577E0" w:rsidRPr="003577E0" w:rsidRDefault="003577E0" w:rsidP="003577E0">
      <w:pPr>
        <w:spacing w:before="100" w:beforeAutospacing="1" w:after="100" w:afterAutospacing="1"/>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3577E0">
      <w:pPr>
        <w:numPr>
          <w:ilvl w:val="0"/>
          <w:numId w:val="5"/>
        </w:numPr>
        <w:spacing w:before="100" w:beforeAutospacing="1" w:after="100" w:afterAutospacing="1"/>
        <w:ind w:left="1080"/>
        <w:rPr>
          <w:lang w:eastAsia="fr-FR"/>
        </w:rPr>
      </w:pPr>
      <w:r w:rsidRPr="003577E0">
        <w:rPr>
          <w:i/>
          <w:iCs/>
          <w:lang w:eastAsia="fr-FR"/>
        </w:rPr>
        <w:t>Le principe de l’objectivité et de la neutralité.</w:t>
      </w:r>
    </w:p>
    <w:p w:rsidR="003577E0" w:rsidRPr="003577E0" w:rsidRDefault="003577E0" w:rsidP="003577E0">
      <w:pPr>
        <w:spacing w:before="100" w:beforeAutospacing="1" w:after="100" w:afterAutospacing="1"/>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3577E0">
      <w:pPr>
        <w:spacing w:before="100" w:beforeAutospacing="1" w:after="100" w:afterAutospacing="1"/>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3577E0">
      <w:pPr>
        <w:numPr>
          <w:ilvl w:val="0"/>
          <w:numId w:val="6"/>
        </w:numPr>
        <w:spacing w:before="100" w:beforeAutospacing="1" w:after="100" w:afterAutospacing="1"/>
        <w:ind w:left="1080"/>
        <w:rPr>
          <w:lang w:eastAsia="fr-FR"/>
        </w:rPr>
      </w:pPr>
      <w:r w:rsidRPr="003577E0">
        <w:rPr>
          <w:i/>
          <w:iCs/>
          <w:lang w:eastAsia="fr-FR"/>
        </w:rPr>
        <w:t> Le faisceau d’indices.</w:t>
      </w:r>
    </w:p>
    <w:p w:rsidR="003577E0" w:rsidRPr="003577E0" w:rsidRDefault="003577E0" w:rsidP="003577E0">
      <w:pPr>
        <w:spacing w:before="100" w:beforeAutospacing="1" w:after="100" w:afterAutospacing="1"/>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3577E0">
      <w:pPr>
        <w:spacing w:before="100" w:beforeAutospacing="1" w:after="100" w:afterAutospacing="1"/>
        <w:rPr>
          <w:lang w:eastAsia="fr-FR"/>
        </w:rPr>
      </w:pPr>
      <w:r w:rsidRPr="003577E0">
        <w:rPr>
          <w:lang w:eastAsia="fr-FR"/>
        </w:rPr>
        <w:lastRenderedPageBreak/>
        <w:t xml:space="preserve">Le juge de l’élection procédera à une appréciation </w:t>
      </w:r>
      <w:r w:rsidRPr="003577E0">
        <w:rPr>
          <w:i/>
          <w:iCs/>
          <w:lang w:eastAsia="fr-FR"/>
        </w:rPr>
        <w:t xml:space="preserve">in </w:t>
      </w:r>
      <w:proofErr w:type="spellStart"/>
      <w:r w:rsidRPr="003577E0">
        <w:rPr>
          <w:i/>
          <w:iCs/>
          <w:lang w:eastAsia="fr-FR"/>
        </w:rPr>
        <w:t>concreto</w:t>
      </w:r>
      <w:proofErr w:type="spellEnd"/>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3577E0">
      <w:pPr>
        <w:spacing w:before="100" w:beforeAutospacing="1" w:after="100" w:afterAutospacing="1"/>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3577E0">
      <w:pPr>
        <w:spacing w:before="100" w:beforeAutospacing="1" w:after="100" w:afterAutospacing="1"/>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3577E0">
      <w:pPr>
        <w:spacing w:before="100" w:beforeAutospacing="1" w:after="100" w:afterAutospacing="1"/>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p w:rsidR="003577E0" w:rsidRPr="003577E0" w:rsidRDefault="003577E0" w:rsidP="003577E0">
      <w:pPr>
        <w:spacing w:before="100" w:beforeAutospacing="1" w:after="100" w:afterAutospacing="1"/>
        <w:rPr>
          <w:lang w:eastAsia="fr-FR"/>
        </w:rPr>
      </w:pPr>
      <w:r w:rsidRPr="003577E0">
        <w:rPr>
          <w:lang w:eastAsia="fr-FR"/>
        </w:rPr>
        <w:t> </w:t>
      </w:r>
    </w:p>
    <w:p w:rsidR="003577E0" w:rsidRPr="003577E0" w:rsidRDefault="003577E0" w:rsidP="003577E0">
      <w:pPr>
        <w:spacing w:before="100" w:beforeAutospacing="1" w:after="100" w:afterAutospacing="1"/>
        <w:jc w:val="right"/>
        <w:rPr>
          <w:lang w:eastAsia="fr-FR"/>
        </w:rPr>
      </w:pPr>
      <w:r w:rsidRPr="003577E0">
        <w:rPr>
          <w:b/>
          <w:bCs/>
          <w:lang w:eastAsia="fr-FR"/>
        </w:rPr>
        <w:t>Rolande PLACIDI, Avocat au Barreau de Strasbourg.</w:t>
      </w:r>
    </w:p>
    <w:p w:rsidR="00503619" w:rsidRDefault="00503619"/>
    <w:sectPr w:rsidR="0050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601B"/>
    <w:multiLevelType w:val="multilevel"/>
    <w:tmpl w:val="6EF2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E5019"/>
    <w:multiLevelType w:val="multilevel"/>
    <w:tmpl w:val="04B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2675E"/>
    <w:multiLevelType w:val="multilevel"/>
    <w:tmpl w:val="ACE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452C8"/>
    <w:multiLevelType w:val="multilevel"/>
    <w:tmpl w:val="1C5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C39F6"/>
    <w:multiLevelType w:val="multilevel"/>
    <w:tmpl w:val="B91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A2A8A"/>
    <w:multiLevelType w:val="multilevel"/>
    <w:tmpl w:val="69C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A7FA6"/>
    <w:multiLevelType w:val="multilevel"/>
    <w:tmpl w:val="BE8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2"/>
  </w:num>
  <w:num w:numId="5">
    <w:abstractNumId w:val="1"/>
  </w:num>
  <w:num w:numId="6">
    <w:abstractNumId w:val="3"/>
  </w:num>
  <w:num w:numId="7">
    <w:abstractNumId w:val="15"/>
  </w:num>
  <w:num w:numId="8">
    <w:abstractNumId w:val="5"/>
  </w:num>
  <w:num w:numId="9">
    <w:abstractNumId w:val="6"/>
  </w:num>
  <w:num w:numId="10">
    <w:abstractNumId w:val="8"/>
  </w:num>
  <w:num w:numId="11">
    <w:abstractNumId w:val="7"/>
  </w:num>
  <w:num w:numId="12">
    <w:abstractNumId w:val="4"/>
  </w:num>
  <w:num w:numId="13">
    <w:abstractNumId w:val="14"/>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E0"/>
    <w:rsid w:val="000D1320"/>
    <w:rsid w:val="00175D9F"/>
    <w:rsid w:val="00343840"/>
    <w:rsid w:val="003577E0"/>
    <w:rsid w:val="00503619"/>
    <w:rsid w:val="00B90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7E0"/>
    <w:rPr>
      <w:b/>
      <w:bCs/>
      <w:sz w:val="36"/>
      <w:szCs w:val="36"/>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rsid w:val="003577E0"/>
    <w:rPr>
      <w:rFonts w:ascii="Tahoma" w:hAnsi="Tahoma" w:cs="Tahoma"/>
      <w:sz w:val="16"/>
      <w:szCs w:val="16"/>
    </w:rPr>
  </w:style>
  <w:style w:type="character" w:customStyle="1" w:styleId="TextedebullesCar">
    <w:name w:val="Texte de bulles Car"/>
    <w:basedOn w:val="Policepardfaut"/>
    <w:link w:val="Textedebulles"/>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surtitre">
    <w:name w:val="surtitre"/>
    <w:basedOn w:val="Policepardfaut"/>
    <w:rsid w:val="000D1320"/>
  </w:style>
  <w:style w:type="character" w:customStyle="1" w:styleId="date">
    <w:name w:val="date"/>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7E0"/>
    <w:rPr>
      <w:b/>
      <w:bCs/>
      <w:sz w:val="36"/>
      <w:szCs w:val="36"/>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rsid w:val="003577E0"/>
    <w:rPr>
      <w:rFonts w:ascii="Tahoma" w:hAnsi="Tahoma" w:cs="Tahoma"/>
      <w:sz w:val="16"/>
      <w:szCs w:val="16"/>
    </w:rPr>
  </w:style>
  <w:style w:type="character" w:customStyle="1" w:styleId="TextedebullesCar">
    <w:name w:val="Texte de bulles Car"/>
    <w:basedOn w:val="Policepardfaut"/>
    <w:link w:val="Textedebulles"/>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surtitre">
    <w:name w:val="surtitre"/>
    <w:basedOn w:val="Policepardfaut"/>
    <w:rsid w:val="000D1320"/>
  </w:style>
  <w:style w:type="character" w:customStyle="1" w:styleId="date">
    <w:name w:val="date"/>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sites/default/files/typo/document/CNIL_Politique.pdf" TargetMode="External"/><Relationship Id="rId13" Type="http://schemas.openxmlformats.org/officeDocument/2006/relationships/hyperlink" Target="http://www.cnccfp.fr" TargetMode="External"/><Relationship Id="rId18" Type="http://schemas.openxmlformats.org/officeDocument/2006/relationships/hyperlink" Target="http://www.interieur.gouv.fr/content/download/66050/477814/file/2013-memento-communes%20de%20moins%20de%201%20000%20habitants.pdf" TargetMode="External"/><Relationship Id="rId26" Type="http://schemas.openxmlformats.org/officeDocument/2006/relationships/hyperlink" Target="http://capcom.cap-com.org/content/le-forum-montpellier-2012-affluence-assiduit%C3%A9-et-convivialit%C3%A9" TargetMode="External"/><Relationship Id="rId3" Type="http://schemas.microsoft.com/office/2007/relationships/stylesWithEffects" Target="stylesWithEffects.xml"/><Relationship Id="rId21" Type="http://schemas.openxmlformats.org/officeDocument/2006/relationships/hyperlink" Target="http://www.legifrance.gouv.fr/affichTexte.do?cidTexte=JORFTEXT000023492991" TargetMode="External"/><Relationship Id="rId7" Type="http://schemas.openxmlformats.org/officeDocument/2006/relationships/hyperlink" Target="https://www.cnil.fr/sites/default/files/typo/document/CNIL_Politique.pdf" TargetMode="External"/><Relationship Id="rId12" Type="http://schemas.openxmlformats.org/officeDocument/2006/relationships/hyperlink" Target="http://www.legifrance.gouv.fr/affichTexte.do?cidTexte=JORFTEXT000023877131&amp;dateTexte=&amp;categorieLien=id" TargetMode="External"/><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nterieur.gouv.fr/content/download/66051/477819/file/2013-memento-communes%20de%201%20000%20habitants%20et%20plus.pdf" TargetMode="External"/><Relationship Id="rId20" Type="http://schemas.openxmlformats.org/officeDocument/2006/relationships/hyperlink" Target="http://www.legifrance.gouv.fr/affichTexte.do?cidTexte=JORFTEXT000028267121&amp;dateTexte=&amp;categorieLien=id"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urrierdesmaires.fr/8755/municipales-2014-la-communication-institutionnelle-en-periode-preelectorale-analyse/" TargetMode="External"/><Relationship Id="rId24" Type="http://schemas.openxmlformats.org/officeDocument/2006/relationships/hyperlink" Target="http://www.cap-com.org/content/communication-et-periode-electorale-la-vigilance-s-impose" TargetMode="External"/><Relationship Id="rId5" Type="http://schemas.openxmlformats.org/officeDocument/2006/relationships/webSettings" Target="webSettings.xml"/><Relationship Id="rId15" Type="http://schemas.openxmlformats.org/officeDocument/2006/relationships/hyperlink" Target="http://www.vie-publique.fr/actualite/dossier/municipales-2014-election/communication-campagne-electorale-cadre-contraint.html" TargetMode="External"/><Relationship Id="rId23" Type="http://schemas.openxmlformats.org/officeDocument/2006/relationships/hyperlink" Target="http://www.cnil.fr/elections/" TargetMode="External"/><Relationship Id="rId28" Type="http://schemas.openxmlformats.org/officeDocument/2006/relationships/theme" Target="theme/theme1.xml"/><Relationship Id="rId10" Type="http://schemas.openxmlformats.org/officeDocument/2006/relationships/hyperlink" Target="http://www.courrierdesmaires.fr/8755/municipales-2014-la-communication-institutionnelle-en-periode-preelectorale-analyse/" TargetMode="External"/><Relationship Id="rId19" Type="http://schemas.openxmlformats.org/officeDocument/2006/relationships/hyperlink" Target="http://www.legifrance.gouv.fr/affichCode.do?idSectionTA=LEGISCTA000006164066&amp;cidTexte=LEGITEXT000006070239&amp;dateTexte=20131118" TargetMode="External"/><Relationship Id="rId4" Type="http://schemas.openxmlformats.org/officeDocument/2006/relationships/settings" Target="settings.xml"/><Relationship Id="rId9" Type="http://schemas.openxmlformats.org/officeDocument/2006/relationships/hyperlink" Target="http://www.courrierdesmaires.fr/8755/municipales-2014-la-communication-institutionnelle-en-periode-preelectorale-analyse/" TargetMode="External"/><Relationship Id="rId14" Type="http://schemas.openxmlformats.org/officeDocument/2006/relationships/hyperlink" Target="http://www.vie-publique.fr/actualite/dossier/municipales-2014-election/communication-campagne-electorale-cadre-contraint.html" TargetMode="External"/><Relationship Id="rId22"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CEBE5FF7</Template>
  <TotalTime>7</TotalTime>
  <Pages>17</Pages>
  <Words>6540</Words>
  <Characters>41238</Characters>
  <Application>Microsoft Office Word</Application>
  <DocSecurity>0</DocSecurity>
  <Lines>343</Lines>
  <Paragraphs>95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2016-09-23T15:15:00Z</dcterms:created>
  <dcterms:modified xsi:type="dcterms:W3CDTF">2016-09-23T15:23:00Z</dcterms:modified>
</cp:coreProperties>
</file>