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50" w:rsidRPr="00B8382D" w:rsidRDefault="00295050" w:rsidP="0029505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009900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050" w:rsidRPr="00B8382D" w:rsidRDefault="00295050" w:rsidP="00295050">
      <w:pPr>
        <w:jc w:val="center"/>
      </w:pPr>
    </w:p>
    <w:p w:rsidR="00295050" w:rsidRPr="00B8382D" w:rsidRDefault="00295050" w:rsidP="00295050">
      <w:pPr>
        <w:pStyle w:val="En-tte"/>
        <w:jc w:val="left"/>
        <w:rPr>
          <w:sz w:val="24"/>
        </w:rPr>
      </w:pPr>
      <w:r w:rsidRPr="00B8382D">
        <w:rPr>
          <w:sz w:val="24"/>
        </w:rPr>
        <w:t>MASTER 2 – Communication politique et institutionnelle</w:t>
      </w:r>
    </w:p>
    <w:p w:rsidR="00295050" w:rsidRPr="00B8382D" w:rsidRDefault="00295050" w:rsidP="00295050">
      <w:pPr>
        <w:jc w:val="right"/>
      </w:pPr>
      <w:r w:rsidRPr="00B8382D">
        <w:t>2016</w:t>
      </w:r>
    </w:p>
    <w:p w:rsidR="00295050" w:rsidRPr="00B8382D" w:rsidRDefault="00295050" w:rsidP="00295050">
      <w:pPr>
        <w:jc w:val="center"/>
        <w:rPr>
          <w:rFonts w:ascii="Garamond" w:hAnsi="Garamond"/>
          <w:b/>
          <w:sz w:val="36"/>
          <w:szCs w:val="22"/>
        </w:rPr>
      </w:pPr>
      <w:r w:rsidRPr="00B8382D">
        <w:t>Droit des élections, droit du financement de la communication politique</w:t>
      </w:r>
    </w:p>
    <w:p w:rsidR="00295050" w:rsidRPr="00B8382D" w:rsidRDefault="00295050" w:rsidP="00295050">
      <w:pPr>
        <w:rPr>
          <w:lang w:val="en-GB"/>
        </w:rPr>
      </w:pPr>
      <w:proofErr w:type="gramStart"/>
      <w:r w:rsidRPr="00B8382D">
        <w:rPr>
          <w:lang w:val="en-GB"/>
        </w:rPr>
        <w:t>Mail :</w:t>
      </w:r>
      <w:proofErr w:type="gramEnd"/>
      <w:r w:rsidRPr="00B8382D">
        <w:rPr>
          <w:lang w:val="en-GB"/>
        </w:rPr>
        <w:t xml:space="preserve"> </w:t>
      </w:r>
      <w:hyperlink r:id="rId7" w:history="1">
        <w:r w:rsidRPr="00B8382D">
          <w:rPr>
            <w:rStyle w:val="Lienhypertexte"/>
            <w:lang w:val="en-GB"/>
          </w:rPr>
          <w:t>stephane.cottin@gmail.com</w:t>
        </w:r>
      </w:hyperlink>
      <w:r w:rsidRPr="00B8382D">
        <w:rPr>
          <w:lang w:val="en-GB"/>
        </w:rPr>
        <w:t xml:space="preserve"> </w:t>
      </w:r>
    </w:p>
    <w:p w:rsidR="00295050" w:rsidRPr="00B8382D" w:rsidRDefault="00295050" w:rsidP="00295050">
      <w:pPr>
        <w:jc w:val="right"/>
        <w:rPr>
          <w:lang w:val="en-GB"/>
        </w:rPr>
      </w:pPr>
      <w:r w:rsidRPr="00B8382D">
        <w:rPr>
          <w:lang w:val="en-GB"/>
        </w:rPr>
        <w:t xml:space="preserve">Site du </w:t>
      </w:r>
      <w:proofErr w:type="spellStart"/>
      <w:proofErr w:type="gramStart"/>
      <w:r w:rsidRPr="00B8382D">
        <w:rPr>
          <w:lang w:val="en-GB"/>
        </w:rPr>
        <w:t>cours</w:t>
      </w:r>
      <w:proofErr w:type="spellEnd"/>
      <w:r w:rsidRPr="00B8382D">
        <w:rPr>
          <w:lang w:val="en-GB"/>
        </w:rPr>
        <w:t> :</w:t>
      </w:r>
      <w:proofErr w:type="gramEnd"/>
      <w:r w:rsidRPr="00B8382D">
        <w:rPr>
          <w:lang w:val="en-GB"/>
        </w:rPr>
        <w:t xml:space="preserve"> </w:t>
      </w:r>
      <w:hyperlink r:id="rId8" w:history="1">
        <w:r w:rsidRPr="00B8382D">
          <w:rPr>
            <w:rStyle w:val="Lienhypertexte"/>
            <w:sz w:val="36"/>
            <w:szCs w:val="44"/>
            <w:lang w:val="en-GB"/>
          </w:rPr>
          <w:t>http://www.electoral.fr</w:t>
        </w:r>
      </w:hyperlink>
      <w:r w:rsidRPr="00B8382D">
        <w:rPr>
          <w:lang w:val="en-GB"/>
        </w:rPr>
        <w:t xml:space="preserve"> </w:t>
      </w:r>
    </w:p>
    <w:p w:rsidR="00295050" w:rsidRPr="00295050" w:rsidRDefault="00295050" w:rsidP="00295050">
      <w:pPr>
        <w:numPr>
          <w:ilvl w:val="0"/>
          <w:numId w:val="11"/>
        </w:numPr>
        <w:jc w:val="both"/>
        <w:rPr>
          <w:rFonts w:ascii="Cambria" w:hAnsi="Cambria"/>
          <w:b/>
          <w:sz w:val="36"/>
        </w:rPr>
      </w:pPr>
      <w:r w:rsidRPr="00295050">
        <w:rPr>
          <w:rFonts w:ascii="Cambria" w:hAnsi="Cambria"/>
          <w:b/>
          <w:sz w:val="36"/>
        </w:rPr>
        <w:t>Principes et histoire du financement des élections, de la communication politique : les comptes de campagne et des partis politiques, la CNCCFP.</w:t>
      </w:r>
    </w:p>
    <w:p w:rsidR="00295050" w:rsidRDefault="00295050" w:rsidP="00295050">
      <w:r>
        <w:t>Sources web :</w:t>
      </w:r>
      <w:r w:rsidR="000F5426">
        <w:t xml:space="preserve"> </w:t>
      </w:r>
      <w:r>
        <w:t xml:space="preserve">Site de la CNCCFP : </w:t>
      </w:r>
      <w:hyperlink r:id="rId9" w:history="1">
        <w:r w:rsidRPr="006C1223">
          <w:rPr>
            <w:rStyle w:val="Lienhypertexte"/>
          </w:rPr>
          <w:t>http://www.cnccfp.fr/</w:t>
        </w:r>
      </w:hyperlink>
      <w:r>
        <w:t xml:space="preserve"> </w:t>
      </w:r>
    </w:p>
    <w:p w:rsidR="00022CFC" w:rsidRPr="00022CFC" w:rsidRDefault="00022CFC" w:rsidP="00295050">
      <w:pPr>
        <w:outlineLvl w:val="0"/>
        <w:rPr>
          <w:b/>
          <w:bCs/>
          <w:kern w:val="36"/>
          <w:szCs w:val="48"/>
          <w:lang w:eastAsia="fr-FR"/>
        </w:rPr>
      </w:pPr>
      <w:r w:rsidRPr="00022CFC">
        <w:rPr>
          <w:b/>
          <w:bCs/>
          <w:kern w:val="36"/>
          <w:szCs w:val="48"/>
          <w:lang w:eastAsia="fr-FR"/>
        </w:rPr>
        <w:t xml:space="preserve">Financement des campagnes électorales : le </w:t>
      </w:r>
      <w:proofErr w:type="gramStart"/>
      <w:r w:rsidRPr="00022CFC">
        <w:rPr>
          <w:b/>
          <w:bCs/>
          <w:kern w:val="36"/>
          <w:szCs w:val="48"/>
          <w:lang w:eastAsia="fr-FR"/>
        </w:rPr>
        <w:t>contrôle</w:t>
      </w:r>
      <w:proofErr w:type="gramEnd"/>
      <w:r w:rsidRPr="00022CFC">
        <w:rPr>
          <w:b/>
          <w:bCs/>
          <w:kern w:val="36"/>
          <w:szCs w:val="48"/>
          <w:lang w:eastAsia="fr-FR"/>
        </w:rPr>
        <w:t xml:space="preserve"> des comptes de campagne.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 xml:space="preserve">Ce contrôle concerne les élections </w:t>
      </w:r>
      <w:r w:rsidR="000F5426">
        <w:rPr>
          <w:lang w:eastAsia="fr-FR"/>
        </w:rPr>
        <w:t xml:space="preserve">présidentielles </w:t>
      </w:r>
      <w:r w:rsidRPr="00022CFC">
        <w:rPr>
          <w:lang w:eastAsia="fr-FR"/>
        </w:rPr>
        <w:t>européennes, législatives, régionales, cantonales, municipales, provinciales et territoriales (Outre-Mer).</w:t>
      </w:r>
    </w:p>
    <w:p w:rsidR="00022CFC" w:rsidRPr="00022CFC" w:rsidRDefault="00022CFC" w:rsidP="00295050">
      <w:pPr>
        <w:outlineLvl w:val="1"/>
        <w:rPr>
          <w:b/>
          <w:bCs/>
          <w:szCs w:val="36"/>
          <w:lang w:eastAsia="fr-FR"/>
        </w:rPr>
      </w:pPr>
      <w:bookmarkStart w:id="0" w:name="obligations"/>
      <w:bookmarkEnd w:id="0"/>
      <w:r w:rsidRPr="00022CFC">
        <w:rPr>
          <w:b/>
          <w:bCs/>
          <w:szCs w:val="36"/>
          <w:lang w:eastAsia="fr-FR"/>
        </w:rPr>
        <w:t>Les obligations du candidat.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Le candidat est tenu de respecter un certain nombre de formalités substantielles :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désigner un mandataire financier (personne physique ou association de financement) et le déclarer en préfecture dès le début de la campagne électorale ; ce mandataire ouvrira un compte bancaire unique retraçant les mouvements financiers du compte (recettes et dépenses)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ne pas dépasser le plafond des dépenses applicable à l'élection en cause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faire viser son compte par un expert-comptable sauf si aucune dépense et recette n'a été engagée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déposer à la commission un compte en équilibre ou, éventuellement, en excédent ;</w:t>
      </w:r>
    </w:p>
    <w:p w:rsidR="00022CFC" w:rsidRPr="00022CFC" w:rsidRDefault="00022CFC" w:rsidP="00295050">
      <w:pPr>
        <w:numPr>
          <w:ilvl w:val="0"/>
          <w:numId w:val="1"/>
        </w:numPr>
        <w:rPr>
          <w:sz w:val="20"/>
          <w:lang w:eastAsia="fr-FR"/>
        </w:rPr>
      </w:pPr>
      <w:r w:rsidRPr="00022CFC">
        <w:rPr>
          <w:sz w:val="20"/>
          <w:lang w:eastAsia="fr-FR"/>
        </w:rPr>
        <w:t>fournir toutes les pièces justificatives de dépenses et de recettes.</w:t>
      </w:r>
    </w:p>
    <w:p w:rsidR="00022CFC" w:rsidRPr="00022CFC" w:rsidRDefault="00022CFC" w:rsidP="00295050">
      <w:pPr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Les décisions de la commission.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À l'issue de l'examen des comptes de campagne, la commission peut prendre différents types de décisions :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approuver le compte de campagne ;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approuver après réformation le compte, notamment lorsque des dépenses engagées par le candidat ne présentent pas de caractère électoral ;</w:t>
      </w:r>
    </w:p>
    <w:p w:rsidR="00022CFC" w:rsidRPr="00022CFC" w:rsidRDefault="00022CFC" w:rsidP="00295050">
      <w:pPr>
        <w:numPr>
          <w:ilvl w:val="0"/>
          <w:numId w:val="2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rejeter le compte en cas de manquement aux règles de droit électoral (absence d'expert-comptable, don de personne morale, compte en déficit, dépassement de plafond...).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La commission peut également constater le non dépôt ou le dépôt hors-délai d'un compte par le candidat.</w:t>
      </w:r>
    </w:p>
    <w:p w:rsidR="00022CFC" w:rsidRPr="00022CFC" w:rsidRDefault="00022CFC" w:rsidP="00295050">
      <w:pPr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Les conséquences des décisions de la commission.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Le rejet, le non dépôt et le dépôt hors-délai du compte privent le candidat de son droit au remboursement des dépenses de campagne et entraînent la saisine du juge de l'élection. Ce dernier peut :</w:t>
      </w:r>
    </w:p>
    <w:p w:rsidR="00022CFC" w:rsidRPr="00022CFC" w:rsidRDefault="00022CFC" w:rsidP="00295050">
      <w:pPr>
        <w:numPr>
          <w:ilvl w:val="0"/>
          <w:numId w:val="3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soit prononcer l'inéligibilité du candidat ;</w:t>
      </w:r>
    </w:p>
    <w:p w:rsidR="00022CFC" w:rsidRPr="00022CFC" w:rsidRDefault="00022CFC" w:rsidP="00295050">
      <w:pPr>
        <w:numPr>
          <w:ilvl w:val="0"/>
          <w:numId w:val="3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soit ne pas prononcer l'inéligibilité, s'il considère que le candidat est de bonne foi ou s'il juge que la commission n'a pas statué à bon droit.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Les décisions de réformations peuvent diminuer le montant du remboursement dû au candidat.</w:t>
      </w:r>
      <w:r w:rsidRPr="00022CFC">
        <w:rPr>
          <w:lang w:eastAsia="fr-FR"/>
        </w:rPr>
        <w:br/>
        <w:t>Celui-ci peut contester la décision prise par la commission en intentant un recours gracieux devant elle, ou contentieux devant le Conseil d'État.</w:t>
      </w:r>
    </w:p>
    <w:p w:rsidR="00022CFC" w:rsidRPr="00022CFC" w:rsidRDefault="00022CFC" w:rsidP="00295050">
      <w:pPr>
        <w:outlineLvl w:val="1"/>
        <w:rPr>
          <w:b/>
          <w:bCs/>
          <w:sz w:val="28"/>
          <w:szCs w:val="36"/>
          <w:lang w:eastAsia="fr-FR"/>
        </w:rPr>
      </w:pPr>
      <w:r w:rsidRPr="00022CFC">
        <w:rPr>
          <w:b/>
          <w:bCs/>
          <w:sz w:val="28"/>
          <w:szCs w:val="36"/>
          <w:lang w:eastAsia="fr-FR"/>
        </w:rPr>
        <w:t>Le remboursement du candidat.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Pour être remboursé, un candidat doit réunir un certain nombre de conditions :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avoir obtenu au moins 5 % des suffrages exprimés (au moins 3 % pour les élections européennes et territoriales de Polynésie française)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lastRenderedPageBreak/>
        <w:t xml:space="preserve">avoir respecté les obligations lui incombant (cf. supra </w:t>
      </w:r>
      <w:hyperlink r:id="rId10" w:anchor="obligations" w:history="1">
        <w:r w:rsidRPr="000F5426">
          <w:rPr>
            <w:i/>
            <w:iCs/>
            <w:color w:val="0000FF"/>
            <w:sz w:val="22"/>
            <w:u w:val="single"/>
            <w:lang w:eastAsia="fr-FR"/>
          </w:rPr>
          <w:t>les obligations du candidat</w:t>
        </w:r>
      </w:hyperlink>
      <w:r w:rsidRPr="00022CFC">
        <w:rPr>
          <w:sz w:val="22"/>
          <w:lang w:eastAsia="fr-FR"/>
        </w:rPr>
        <w:t>)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avoir engagé des dépenses présentant un caractère électoral ;</w:t>
      </w:r>
    </w:p>
    <w:p w:rsidR="00022CFC" w:rsidRPr="00022CFC" w:rsidRDefault="00022CFC" w:rsidP="00295050">
      <w:pPr>
        <w:numPr>
          <w:ilvl w:val="0"/>
          <w:numId w:val="4"/>
        </w:numPr>
        <w:rPr>
          <w:sz w:val="22"/>
          <w:lang w:eastAsia="fr-FR"/>
        </w:rPr>
      </w:pPr>
      <w:r w:rsidRPr="00022CFC">
        <w:rPr>
          <w:sz w:val="22"/>
          <w:lang w:eastAsia="fr-FR"/>
        </w:rPr>
        <w:t>ne pas avoir vu son compte rejeté.</w:t>
      </w:r>
    </w:p>
    <w:p w:rsidR="00022CFC" w:rsidRPr="00022CFC" w:rsidRDefault="00022CFC" w:rsidP="00295050">
      <w:pPr>
        <w:rPr>
          <w:lang w:eastAsia="fr-FR"/>
        </w:rPr>
      </w:pPr>
      <w:r w:rsidRPr="00022CFC">
        <w:rPr>
          <w:lang w:eastAsia="fr-FR"/>
        </w:rPr>
        <w:t>Dès lors, le candidat est remboursé du montant arrêté par la commission à hauteur de son apport personnel (versements personnels et emprunts du candidat remis au mandataire), dans la limite du demi-plafond fixé pour chaque circonscription.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Réformations.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Chaque décision pouvant comprendre plusieurs motifs de réformation.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n'ayant pas le caractère de dépenses électorales,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de transport et de restauration hors circonscription,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 de la "campagne officielle" intégrées dans le compte,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postérieures à l'élection,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prise en compte de la valeur d'un matériel et non de sa valeur d'utilisation,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évaluées à requalifier en concours en nature,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intérêts d'emprunts non payés à la date de dépôt du compte,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dépenses concernant la campagne pour une autre élection,</w:t>
      </w:r>
    </w:p>
    <w:p w:rsidR="00906360" w:rsidRPr="000F5426" w:rsidRDefault="00906360" w:rsidP="00295050">
      <w:pPr>
        <w:numPr>
          <w:ilvl w:val="0"/>
          <w:numId w:val="9"/>
        </w:numPr>
        <w:rPr>
          <w:sz w:val="22"/>
        </w:rPr>
      </w:pPr>
      <w:r w:rsidRPr="000F5426">
        <w:rPr>
          <w:sz w:val="22"/>
        </w:rPr>
        <w:t>apport du candidat ou suppléant ne pouvant constituer des dons.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Rejets.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d'</w:t>
      </w:r>
      <w:proofErr w:type="spellStart"/>
      <w:r w:rsidRPr="000F5426">
        <w:rPr>
          <w:sz w:val="22"/>
        </w:rPr>
        <w:t>expert comptable</w:t>
      </w:r>
      <w:proofErr w:type="spellEnd"/>
      <w:r w:rsidRPr="000F5426">
        <w:rPr>
          <w:sz w:val="22"/>
        </w:rPr>
        <w:t>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de l'attestation du mandataire financier pour les comptes ne présentant ni dépenses ni recettes,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d'ouverture, par le mandataire financier, d'un compte bancaire spécifique à la campagne,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paiements directs du candidat hors mandataire 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absence de pièces justificatives ou grave insuffisance de pièces justificatives,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déficit à la date de dépôt du compte,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dépenses significatives o</w:t>
      </w:r>
      <w:bookmarkStart w:id="1" w:name="_GoBack"/>
      <w:bookmarkEnd w:id="1"/>
      <w:r w:rsidRPr="000F5426">
        <w:rPr>
          <w:sz w:val="22"/>
        </w:rPr>
        <w:t>mises,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dépenses significatives non acquittées à la date du dépôt du compte,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 de personne physique supérieur au montant légalement fixé,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 reçu sans passer par l'intermédiaire du mandataire 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dépassement de plafond,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incompatibilité mandataire-financier,</w:t>
      </w:r>
    </w:p>
    <w:p w:rsidR="00906360" w:rsidRPr="000F5426" w:rsidRDefault="00906360" w:rsidP="00295050">
      <w:pPr>
        <w:numPr>
          <w:ilvl w:val="0"/>
          <w:numId w:val="10"/>
        </w:numPr>
        <w:rPr>
          <w:sz w:val="22"/>
        </w:rPr>
      </w:pPr>
      <w:r w:rsidRPr="000F5426">
        <w:rPr>
          <w:sz w:val="22"/>
        </w:rPr>
        <w:t>dons de personne</w:t>
      </w:r>
      <w:r w:rsidR="00295050" w:rsidRPr="000F5426">
        <w:rPr>
          <w:sz w:val="22"/>
        </w:rPr>
        <w:t>s</w:t>
      </w:r>
      <w:r w:rsidRPr="000F5426">
        <w:rPr>
          <w:sz w:val="22"/>
        </w:rPr>
        <w:t xml:space="preserve"> morales y compris sections de partis ou apports partis non reconnus.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La commission peut également constater le non dépôt ou le dépôt hors délai d'un compte et saisir le juge de l'élection.</w:t>
      </w:r>
    </w:p>
    <w:p w:rsidR="00906360" w:rsidRPr="00295050" w:rsidRDefault="00906360" w:rsidP="00295050">
      <w:pPr>
        <w:pStyle w:val="Titre1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>Documents applicables aux comptes de campagne des candidats aux prochains scrutins nationaux</w:t>
      </w:r>
    </w:p>
    <w:p w:rsidR="00906360" w:rsidRDefault="00906360" w:rsidP="00295050">
      <w:pPr>
        <w:numPr>
          <w:ilvl w:val="0"/>
          <w:numId w:val="5"/>
        </w:numPr>
      </w:pPr>
      <w:hyperlink r:id="rId11" w:tooltip="Taille du fichier PDF à télécharger : 106,1 Ko." w:history="1">
        <w:r>
          <w:rPr>
            <w:rStyle w:val="Lienhypertexte"/>
          </w:rPr>
          <w:t>Consulter l'édition Élections régionales et des assemblées de Corse, de Guyane et de Martinique 2015 de la notice au format PDF</w:t>
        </w:r>
      </w:hyperlink>
      <w:r>
        <w:t>.</w:t>
      </w:r>
    </w:p>
    <w:p w:rsidR="00906360" w:rsidRDefault="00906360" w:rsidP="00295050">
      <w:pPr>
        <w:numPr>
          <w:ilvl w:val="0"/>
          <w:numId w:val="5"/>
        </w:numPr>
      </w:pPr>
      <w:hyperlink r:id="rId12" w:tooltip="Taille du fichier PDF à télécharger : 149,5 Ko." w:history="1">
        <w:r>
          <w:rPr>
            <w:rStyle w:val="Lienhypertexte"/>
          </w:rPr>
          <w:t>Consulter l'édition Élections partielles 2016 hors élections départementales de la notice au format PDF</w:t>
        </w:r>
      </w:hyperlink>
      <w:r>
        <w:t xml:space="preserve">. </w:t>
      </w:r>
      <w:r>
        <w:rPr>
          <w:rStyle w:val="nouveau"/>
        </w:rPr>
        <w:t>NOUVEAU</w:t>
      </w:r>
      <w:r>
        <w:t xml:space="preserve"> (document mis en ligne le 1</w:t>
      </w:r>
      <w:r>
        <w:rPr>
          <w:vertAlign w:val="superscript"/>
        </w:rPr>
        <w:t>er</w:t>
      </w:r>
      <w:r>
        <w:t xml:space="preserve"> mars 2016)</w:t>
      </w:r>
    </w:p>
    <w:p w:rsidR="00906360" w:rsidRPr="00295050" w:rsidRDefault="00906360" w:rsidP="00295050">
      <w:pPr>
        <w:pStyle w:val="Titre2"/>
        <w:spacing w:before="0" w:beforeAutospacing="0" w:after="0" w:afterAutospacing="0"/>
        <w:rPr>
          <w:sz w:val="28"/>
        </w:rPr>
      </w:pPr>
      <w:r w:rsidRPr="00295050">
        <w:rPr>
          <w:sz w:val="28"/>
        </w:rPr>
        <w:t xml:space="preserve">Guide du candidat et du mandataire* - édition </w:t>
      </w:r>
      <w:r w:rsidRPr="00295050">
        <w:rPr>
          <w:rStyle w:val="rougir"/>
          <w:sz w:val="28"/>
        </w:rPr>
        <w:t>2015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 xml:space="preserve">* Le terme </w:t>
      </w:r>
      <w:r>
        <w:rPr>
          <w:rStyle w:val="CitationHTML"/>
        </w:rPr>
        <w:t>mandataire</w:t>
      </w:r>
      <w:r>
        <w:t xml:space="preserve"> désigne soit le mandataire financier, personne physique, </w:t>
      </w:r>
      <w:proofErr w:type="gramStart"/>
      <w:r>
        <w:t>soit</w:t>
      </w:r>
      <w:proofErr w:type="gramEnd"/>
      <w:r>
        <w:t xml:space="preserve"> l’association de financement électorale.</w:t>
      </w:r>
    </w:p>
    <w:p w:rsidR="00906360" w:rsidRDefault="00906360" w:rsidP="00295050">
      <w:pPr>
        <w:numPr>
          <w:ilvl w:val="0"/>
          <w:numId w:val="8"/>
        </w:numPr>
      </w:pPr>
      <w:hyperlink r:id="rId13" w:tooltip="fichier PDF - 420,6 Ko" w:history="1">
        <w:r>
          <w:rPr>
            <w:rStyle w:val="Lienhypertexte"/>
          </w:rPr>
          <w:t>Édition 2015 du guide du candidat et du mandataire</w:t>
        </w:r>
      </w:hyperlink>
      <w:r>
        <w:t xml:space="preserve"> </w:t>
      </w:r>
      <w:r>
        <w:rPr>
          <w:rStyle w:val="nouveau"/>
        </w:rPr>
        <w:t>NOUVEAU</w:t>
      </w:r>
      <w:r>
        <w:t xml:space="preserve"> (document mis en ligne le 2 décembre 2015). </w:t>
      </w:r>
    </w:p>
    <w:p w:rsidR="00906360" w:rsidRDefault="00906360" w:rsidP="00295050">
      <w:pPr>
        <w:numPr>
          <w:ilvl w:val="0"/>
          <w:numId w:val="8"/>
        </w:numPr>
      </w:pPr>
      <w:r>
        <w:t xml:space="preserve">Annexes - modèles ** :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1 : </w:t>
      </w:r>
      <w:hyperlink r:id="rId14" w:history="1">
        <w:r>
          <w:rPr>
            <w:rStyle w:val="Lienhypertexte"/>
          </w:rPr>
          <w:t>Modèle de déclaration d'un mandataire financier</w:t>
        </w:r>
      </w:hyperlink>
      <w:r>
        <w:t xml:space="preserve"> </w:t>
      </w:r>
      <w:r>
        <w:rPr>
          <w:rStyle w:val="Accentuation"/>
        </w:rPr>
        <w:t>(personne physique)</w:t>
      </w:r>
      <w:r>
        <w:t> ;</w:t>
      </w:r>
    </w:p>
    <w:p w:rsidR="00906360" w:rsidRDefault="00906360" w:rsidP="00295050">
      <w:pPr>
        <w:numPr>
          <w:ilvl w:val="1"/>
          <w:numId w:val="8"/>
        </w:numPr>
      </w:pPr>
      <w:r>
        <w:t xml:space="preserve">Modèle de déclaration d'association de financement électorale ;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3 : Modèle de publicité pour la collecte des dons ; </w:t>
      </w:r>
    </w:p>
    <w:p w:rsidR="00906360" w:rsidRDefault="00906360" w:rsidP="00295050">
      <w:pPr>
        <w:numPr>
          <w:ilvl w:val="1"/>
          <w:numId w:val="8"/>
        </w:numPr>
      </w:pPr>
      <w:r>
        <w:t xml:space="preserve">Annexe 4 : </w:t>
      </w:r>
      <w:hyperlink r:id="rId15" w:tooltip="fichier PDF - 20 Ko" w:history="1">
        <w:r>
          <w:rPr>
            <w:rStyle w:val="Lienhypertexte"/>
          </w:rPr>
          <w:t>Modèle de statuts d'association de financement électorale</w:t>
        </w:r>
      </w:hyperlink>
      <w:r>
        <w:t>.</w:t>
      </w:r>
    </w:p>
    <w:p w:rsidR="00906360" w:rsidRDefault="00906360" w:rsidP="00295050">
      <w:pPr>
        <w:pStyle w:val="NormalWeb"/>
        <w:spacing w:before="0" w:beforeAutospacing="0" w:after="0" w:afterAutospacing="0"/>
      </w:pPr>
      <w:r>
        <w:t>** Ces modèles sont proposés comme une aide aux candidats et n'ont pas de caractère obligatoire.</w:t>
      </w:r>
    </w:p>
    <w:sectPr w:rsidR="00906360" w:rsidSect="002950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192"/>
    <w:multiLevelType w:val="hybridMultilevel"/>
    <w:tmpl w:val="905C92B2"/>
    <w:lvl w:ilvl="0" w:tplc="26B43B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3F27"/>
    <w:multiLevelType w:val="multilevel"/>
    <w:tmpl w:val="1B32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4DCE"/>
    <w:multiLevelType w:val="multilevel"/>
    <w:tmpl w:val="52A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537B6"/>
    <w:multiLevelType w:val="multilevel"/>
    <w:tmpl w:val="250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C3CFA"/>
    <w:multiLevelType w:val="multilevel"/>
    <w:tmpl w:val="21F8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911580"/>
    <w:multiLevelType w:val="multilevel"/>
    <w:tmpl w:val="E68A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199C"/>
    <w:multiLevelType w:val="multilevel"/>
    <w:tmpl w:val="6790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62F91"/>
    <w:multiLevelType w:val="multilevel"/>
    <w:tmpl w:val="0E08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73695"/>
    <w:multiLevelType w:val="multilevel"/>
    <w:tmpl w:val="679C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E16D9"/>
    <w:multiLevelType w:val="multilevel"/>
    <w:tmpl w:val="56EC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AA7639"/>
    <w:multiLevelType w:val="multilevel"/>
    <w:tmpl w:val="67C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FC"/>
    <w:rsid w:val="00022CFC"/>
    <w:rsid w:val="000F5426"/>
    <w:rsid w:val="00175D9F"/>
    <w:rsid w:val="00295050"/>
    <w:rsid w:val="00343840"/>
    <w:rsid w:val="00503619"/>
    <w:rsid w:val="009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22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22CFC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CFC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22CF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2CFC"/>
    <w:pPr>
      <w:spacing w:before="100" w:beforeAutospacing="1" w:after="100" w:afterAutospacing="1"/>
    </w:pPr>
    <w:rPr>
      <w:lang w:eastAsia="fr-FR"/>
    </w:rPr>
  </w:style>
  <w:style w:type="character" w:styleId="CitationHTML">
    <w:name w:val="HTML Cite"/>
    <w:basedOn w:val="Policepardfaut"/>
    <w:uiPriority w:val="99"/>
    <w:unhideWhenUsed/>
    <w:rsid w:val="00022CFC"/>
    <w:rPr>
      <w:i/>
      <w:iCs/>
    </w:rPr>
  </w:style>
  <w:style w:type="character" w:styleId="Lienhypertexte">
    <w:name w:val="Hyperlink"/>
    <w:basedOn w:val="Policepardfaut"/>
    <w:uiPriority w:val="99"/>
    <w:unhideWhenUsed/>
    <w:rsid w:val="00022CFC"/>
    <w:rPr>
      <w:color w:val="0000FF"/>
      <w:u w:val="single"/>
    </w:rPr>
  </w:style>
  <w:style w:type="character" w:customStyle="1" w:styleId="rougir">
    <w:name w:val="rougir"/>
    <w:basedOn w:val="Policepardfaut"/>
    <w:rsid w:val="00906360"/>
  </w:style>
  <w:style w:type="character" w:customStyle="1" w:styleId="nouveau">
    <w:name w:val="nouveau"/>
    <w:basedOn w:val="Policepardfaut"/>
    <w:rsid w:val="00906360"/>
  </w:style>
  <w:style w:type="character" w:styleId="Accentuation">
    <w:name w:val="Emphasis"/>
    <w:basedOn w:val="Policepardfaut"/>
    <w:uiPriority w:val="20"/>
    <w:qFormat/>
    <w:rsid w:val="00906360"/>
    <w:rPr>
      <w:i/>
      <w:iCs/>
    </w:rPr>
  </w:style>
  <w:style w:type="paragraph" w:styleId="En-tte">
    <w:name w:val="header"/>
    <w:basedOn w:val="Normal"/>
    <w:link w:val="En-tteCar"/>
    <w:rsid w:val="00295050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color w:val="00000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95050"/>
    <w:rPr>
      <w:color w:val="000000"/>
    </w:rPr>
  </w:style>
  <w:style w:type="paragraph" w:styleId="Textedebulles">
    <w:name w:val="Balloon Text"/>
    <w:basedOn w:val="Normal"/>
    <w:link w:val="TextedebullesCar"/>
    <w:rsid w:val="00295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0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link w:val="Titre1Car"/>
    <w:uiPriority w:val="9"/>
    <w:qFormat/>
    <w:rsid w:val="00022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022CFC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2CFC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022CFC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022CFC"/>
    <w:pPr>
      <w:spacing w:before="100" w:beforeAutospacing="1" w:after="100" w:afterAutospacing="1"/>
    </w:pPr>
    <w:rPr>
      <w:lang w:eastAsia="fr-FR"/>
    </w:rPr>
  </w:style>
  <w:style w:type="character" w:styleId="CitationHTML">
    <w:name w:val="HTML Cite"/>
    <w:basedOn w:val="Policepardfaut"/>
    <w:uiPriority w:val="99"/>
    <w:unhideWhenUsed/>
    <w:rsid w:val="00022CFC"/>
    <w:rPr>
      <w:i/>
      <w:iCs/>
    </w:rPr>
  </w:style>
  <w:style w:type="character" w:styleId="Lienhypertexte">
    <w:name w:val="Hyperlink"/>
    <w:basedOn w:val="Policepardfaut"/>
    <w:uiPriority w:val="99"/>
    <w:unhideWhenUsed/>
    <w:rsid w:val="00022CFC"/>
    <w:rPr>
      <w:color w:val="0000FF"/>
      <w:u w:val="single"/>
    </w:rPr>
  </w:style>
  <w:style w:type="character" w:customStyle="1" w:styleId="rougir">
    <w:name w:val="rougir"/>
    <w:basedOn w:val="Policepardfaut"/>
    <w:rsid w:val="00906360"/>
  </w:style>
  <w:style w:type="character" w:customStyle="1" w:styleId="nouveau">
    <w:name w:val="nouveau"/>
    <w:basedOn w:val="Policepardfaut"/>
    <w:rsid w:val="00906360"/>
  </w:style>
  <w:style w:type="character" w:styleId="Accentuation">
    <w:name w:val="Emphasis"/>
    <w:basedOn w:val="Policepardfaut"/>
    <w:uiPriority w:val="20"/>
    <w:qFormat/>
    <w:rsid w:val="00906360"/>
    <w:rPr>
      <w:i/>
      <w:iCs/>
    </w:rPr>
  </w:style>
  <w:style w:type="paragraph" w:styleId="En-tte">
    <w:name w:val="header"/>
    <w:basedOn w:val="Normal"/>
    <w:link w:val="En-tteCar"/>
    <w:rsid w:val="00295050"/>
    <w:pPr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color w:val="000000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295050"/>
    <w:rPr>
      <w:color w:val="000000"/>
    </w:rPr>
  </w:style>
  <w:style w:type="paragraph" w:styleId="Textedebulles">
    <w:name w:val="Balloon Text"/>
    <w:basedOn w:val="Normal"/>
    <w:link w:val="TextedebullesCar"/>
    <w:rsid w:val="00295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50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oral.fr" TargetMode="External"/><Relationship Id="rId13" Type="http://schemas.openxmlformats.org/officeDocument/2006/relationships/hyperlink" Target="http://www.cnccfp.fr/docs/campagne_2015/cnccfp_2015_guide_candidat_mandataire_2015113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tephane.cottin@gmail.com" TargetMode="External"/><Relationship Id="rId12" Type="http://schemas.openxmlformats.org/officeDocument/2006/relationships/hyperlink" Target="http://www.cnccfp.fr/docs/campagne/cnccfp_2016_compte_de_campagne_notice-abregee_horsDEP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cnccfp.fr/docs/campagne_2015/cnccfp_2015_compte_de_campagne_notice_partielles_et_reg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ccfp.fr/docs/campagne/cnccfp_2015_annexe_4_v20150319.pdf" TargetMode="External"/><Relationship Id="rId10" Type="http://schemas.openxmlformats.org/officeDocument/2006/relationships/hyperlink" Target="http://www.cnccfp.fr/index.php?art=6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ccfp.fr/" TargetMode="External"/><Relationship Id="rId14" Type="http://schemas.openxmlformats.org/officeDocument/2006/relationships/hyperlink" Target="http://www.interieur.gouv.fr/content/download/74091/543240/file/Declaration-mandataire-financie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2D3E2000</Template>
  <TotalTime>223</TotalTime>
  <Pages>2</Pages>
  <Words>880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COTTIN Stephane</dc:creator>
  <cp:lastModifiedBy>COTTIN Stephane</cp:lastModifiedBy>
  <cp:revision>1</cp:revision>
  <dcterms:created xsi:type="dcterms:W3CDTF">2016-10-17T10:32:00Z</dcterms:created>
  <dcterms:modified xsi:type="dcterms:W3CDTF">2016-10-17T14:40:00Z</dcterms:modified>
</cp:coreProperties>
</file>