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2016</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7"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8" w:history="1">
        <w:r w:rsidRPr="00B8382D">
          <w:rPr>
            <w:rStyle w:val="Lienhypertexte"/>
            <w:sz w:val="36"/>
            <w:szCs w:val="44"/>
            <w:lang w:val="en-GB"/>
          </w:rPr>
          <w:t>http://www.electoral.fr</w:t>
        </w:r>
      </w:hyperlink>
      <w:r w:rsidRPr="00B8382D">
        <w:rPr>
          <w:lang w:val="en-GB"/>
        </w:rPr>
        <w:t xml:space="preserve"> </w:t>
      </w:r>
    </w:p>
    <w:p w:rsidR="00EA5ADF" w:rsidRPr="00EA5ADF" w:rsidRDefault="00EA5ADF" w:rsidP="00EA5ADF">
      <w:pPr>
        <w:numPr>
          <w:ilvl w:val="0"/>
          <w:numId w:val="1"/>
        </w:numPr>
        <w:jc w:val="both"/>
        <w:rPr>
          <w:rFonts w:ascii="Cambria" w:hAnsi="Cambria"/>
          <w:b/>
          <w:sz w:val="36"/>
        </w:rPr>
      </w:pPr>
      <w:r w:rsidRPr="00EA5ADF">
        <w:rPr>
          <w:rFonts w:ascii="Cambria" w:hAnsi="Cambria"/>
          <w:b/>
          <w:sz w:val="36"/>
        </w:rPr>
        <w:t>Le contentieux électoral non financier : la procédure devant les juges concernés et actualités de la jurisprudence.</w:t>
      </w:r>
    </w:p>
    <w:p w:rsidR="00DD042F" w:rsidRPr="00DD042F" w:rsidRDefault="00DD042F" w:rsidP="00DD042F">
      <w:pPr>
        <w:spacing w:before="100" w:beforeAutospacing="1" w:after="100" w:afterAutospacing="1"/>
        <w:outlineLvl w:val="1"/>
        <w:rPr>
          <w:b/>
          <w:bCs/>
          <w:sz w:val="36"/>
          <w:szCs w:val="36"/>
          <w:lang w:eastAsia="fr-FR"/>
        </w:rPr>
      </w:pPr>
      <w:r w:rsidRPr="00DD042F">
        <w:rPr>
          <w:b/>
          <w:bCs/>
          <w:sz w:val="36"/>
          <w:szCs w:val="36"/>
          <w:lang w:eastAsia="fr-FR"/>
        </w:rPr>
        <w:t>Contentieux des élect</w:t>
      </w:r>
      <w:bookmarkStart w:id="0" w:name="_GoBack"/>
      <w:bookmarkEnd w:id="0"/>
      <w:r w:rsidRPr="00DD042F">
        <w:rPr>
          <w:b/>
          <w:bCs/>
          <w:sz w:val="36"/>
          <w:szCs w:val="36"/>
          <w:lang w:eastAsia="fr-FR"/>
        </w:rPr>
        <w:t xml:space="preserve">ions municipales de 2014 – Guillaume </w:t>
      </w:r>
      <w:proofErr w:type="spellStart"/>
      <w:r w:rsidRPr="00DD042F">
        <w:rPr>
          <w:b/>
          <w:bCs/>
          <w:sz w:val="36"/>
          <w:szCs w:val="36"/>
          <w:lang w:eastAsia="fr-FR"/>
        </w:rPr>
        <w:t>Odinet</w:t>
      </w:r>
      <w:proofErr w:type="spellEnd"/>
      <w:r w:rsidRPr="00DD042F">
        <w:rPr>
          <w:b/>
          <w:bCs/>
          <w:sz w:val="36"/>
          <w:szCs w:val="36"/>
          <w:lang w:eastAsia="fr-FR"/>
        </w:rPr>
        <w:t xml:space="preserve"> – Louis </w:t>
      </w:r>
      <w:proofErr w:type="spellStart"/>
      <w:r w:rsidRPr="00DD042F">
        <w:rPr>
          <w:b/>
          <w:bCs/>
          <w:sz w:val="36"/>
          <w:szCs w:val="36"/>
          <w:lang w:eastAsia="fr-FR"/>
        </w:rPr>
        <w:t>Dutheillet</w:t>
      </w:r>
      <w:proofErr w:type="spellEnd"/>
      <w:r w:rsidRPr="00DD042F">
        <w:rPr>
          <w:b/>
          <w:bCs/>
          <w:sz w:val="36"/>
          <w:szCs w:val="36"/>
          <w:lang w:eastAsia="fr-FR"/>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p>
              </w:tc>
            </w:tr>
            <w:tr w:rsidR="00DD042F" w:rsidRPr="00DD042F" w:rsidTr="00DD042F">
              <w:trPr>
                <w:tblCellSpacing w:w="0" w:type="dxa"/>
              </w:trPr>
              <w:tc>
                <w:tcPr>
                  <w:tcW w:w="0" w:type="auto"/>
                  <w:vAlign w:val="center"/>
                  <w:hideMark/>
                </w:tcPr>
                <w:p w:rsidR="00DD042F" w:rsidRPr="00DD042F" w:rsidRDefault="00DD042F" w:rsidP="00DD042F">
                  <w:pPr>
                    <w:rPr>
                      <w:sz w:val="20"/>
                      <w:lang w:eastAsia="fr-FR"/>
                    </w:rPr>
                  </w:pPr>
                  <w:r w:rsidRPr="00DD042F">
                    <w:rPr>
                      <w:sz w:val="20"/>
                      <w:lang w:eastAsia="fr-FR"/>
                    </w:rPr>
                    <w:t xml:space="preserve">Guillaume </w:t>
                  </w:r>
                  <w:proofErr w:type="spellStart"/>
                  <w:r w:rsidRPr="00DD042F">
                    <w:rPr>
                      <w:sz w:val="20"/>
                      <w:lang w:eastAsia="fr-FR"/>
                    </w:rPr>
                    <w:t>Odinet</w:t>
                  </w:r>
                  <w:proofErr w:type="spellEnd"/>
                  <w:r w:rsidRPr="00DD042F">
                    <w:rPr>
                      <w:sz w:val="20"/>
                      <w:lang w:eastAsia="fr-FR"/>
                    </w:rPr>
                    <w:t>, Maître des requêtes au Conseil d'Etat, responsable du centre de recherches et de diffusion juridiques</w:t>
                  </w:r>
                </w:p>
                <w:p w:rsidR="00DD042F" w:rsidRPr="00DD042F" w:rsidRDefault="00DD042F" w:rsidP="00DD042F">
                  <w:pPr>
                    <w:rPr>
                      <w:i/>
                      <w:sz w:val="20"/>
                      <w:lang w:eastAsia="fr-FR"/>
                    </w:rPr>
                  </w:pPr>
                  <w:r w:rsidRPr="00DD042F">
                    <w:rPr>
                      <w:sz w:val="20"/>
                      <w:lang w:eastAsia="fr-FR"/>
                    </w:rPr>
                    <w:t xml:space="preserve">Louis </w:t>
                  </w:r>
                  <w:proofErr w:type="spellStart"/>
                  <w:r w:rsidRPr="00DD042F">
                    <w:rPr>
                      <w:sz w:val="20"/>
                      <w:lang w:eastAsia="fr-FR"/>
                    </w:rPr>
                    <w:t>Dutheillet</w:t>
                  </w:r>
                  <w:proofErr w:type="spellEnd"/>
                  <w:r w:rsidRPr="00DD042F">
                    <w:rPr>
                      <w:sz w:val="20"/>
                      <w:lang w:eastAsia="fr-FR"/>
                    </w:rPr>
                    <w:t xml:space="preserve"> de Lamothe, Maître des requêtes au Conseil d'Etat, responsable du centre de recherches et de diffusion juridiques</w:t>
                  </w:r>
                </w:p>
              </w:tc>
            </w:tr>
            <w:tr w:rsidR="00DD042F" w:rsidRPr="00DD042F" w:rsidTr="00DD042F">
              <w:trPr>
                <w:tblCellSpacing w:w="0" w:type="dxa"/>
              </w:trPr>
              <w:tc>
                <w:tcPr>
                  <w:tcW w:w="0" w:type="auto"/>
                  <w:vAlign w:val="center"/>
                  <w:hideMark/>
                </w:tcPr>
                <w:p w:rsidR="00DD042F" w:rsidRPr="00DD042F" w:rsidRDefault="00DD042F" w:rsidP="00DD042F">
                  <w:pPr>
                    <w:ind w:left="567"/>
                    <w:rPr>
                      <w:i/>
                      <w:sz w:val="20"/>
                      <w:lang w:eastAsia="fr-FR"/>
                    </w:rPr>
                  </w:pPr>
                  <w:r w:rsidRPr="00DD042F">
                    <w:rPr>
                      <w:i/>
                      <w:sz w:val="20"/>
                      <w:lang w:eastAsia="fr-FR"/>
                    </w:rPr>
                    <w:t> </w:t>
                  </w:r>
                </w:p>
              </w:tc>
            </w:tr>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r w:rsidRPr="00DD042F">
                    <w:rPr>
                      <w:i/>
                      <w:sz w:val="20"/>
                      <w:lang w:eastAsia="fr-FR"/>
                    </w:rPr>
                    <w:t>L'essentiel</w:t>
                  </w:r>
                </w:p>
                <w:p w:rsidR="00DD042F" w:rsidRPr="00DD042F" w:rsidRDefault="00DD042F" w:rsidP="00DD042F">
                  <w:pPr>
                    <w:spacing w:after="240"/>
                    <w:ind w:left="426"/>
                    <w:rPr>
                      <w:i/>
                      <w:sz w:val="20"/>
                      <w:lang w:eastAsia="fr-FR"/>
                    </w:rPr>
                  </w:pPr>
                  <w:r w:rsidRPr="00DD042F">
                    <w:rPr>
                      <w:i/>
                      <w:sz w:val="20"/>
                      <w:lang w:eastAsia="fr-FR"/>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DD042F" w:rsidRPr="00DD042F" w:rsidTr="00DD042F">
              <w:trPr>
                <w:tblCellSpacing w:w="0" w:type="dxa"/>
              </w:trPr>
              <w:tc>
                <w:tcPr>
                  <w:tcW w:w="0" w:type="auto"/>
                  <w:vAlign w:val="center"/>
                  <w:hideMark/>
                </w:tcPr>
                <w:p w:rsidR="00DD042F" w:rsidRPr="00DD042F" w:rsidRDefault="00DD042F" w:rsidP="00DD042F">
                  <w:pPr>
                    <w:ind w:left="426"/>
                    <w:rPr>
                      <w:i/>
                      <w:sz w:val="20"/>
                      <w:lang w:eastAsia="fr-FR"/>
                    </w:rPr>
                  </w:pPr>
                  <w:r w:rsidRPr="00DD042F">
                    <w:rPr>
                      <w:i/>
                      <w:sz w:val="20"/>
                      <w:lang w:eastAsia="fr-FR"/>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sz w:val="20"/>
                      <w:lang w:eastAsia="fr-FR"/>
                    </w:rPr>
                    <w:t>Dans ce contexte, la jurisprudence fait pourtant preuve d'une remarquable stabilité dans ses principes et ses raisonnements.</w:t>
                  </w:r>
                </w:p>
              </w:tc>
            </w:tr>
          </w:tbl>
          <w:p w:rsidR="00DD042F" w:rsidRPr="00DD042F" w:rsidRDefault="00DD042F" w:rsidP="00DD042F">
            <w:pPr>
              <w:rPr>
                <w:i/>
                <w:sz w:val="20"/>
                <w:lang w:eastAsia="fr-FR"/>
              </w:rPr>
            </w:pPr>
          </w:p>
        </w:tc>
      </w:tr>
    </w:tbl>
    <w:p w:rsidR="00DD042F" w:rsidRPr="00DD042F" w:rsidRDefault="00DD042F" w:rsidP="00DD042F">
      <w:pPr>
        <w:rPr>
          <w:b/>
        </w:rPr>
      </w:pPr>
      <w:r>
        <w:t xml:space="preserve">Extrait : </w:t>
      </w:r>
      <w:r w:rsidRPr="00DD042F">
        <w:rPr>
          <w:b/>
        </w:rPr>
        <w:t>Propagande</w:t>
      </w:r>
    </w:p>
    <w:p w:rsidR="00DD042F" w:rsidRDefault="00DD042F" w:rsidP="00DD042F">
      <w:pPr>
        <w:ind w:firstLine="426"/>
        <w:jc w:val="both"/>
        <w:rPr>
          <w:sz w:val="20"/>
        </w:rPr>
      </w:pPr>
      <w:r w:rsidRPr="00DD042F">
        <w:rPr>
          <w:sz w:val="20"/>
        </w:rPr>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rPr>
          <w:sz w:val="20"/>
        </w:rPr>
        <w:t>microblogues</w:t>
      </w:r>
      <w:proofErr w:type="spellEnd"/>
      <w:r w:rsidRPr="00DD042F">
        <w:rPr>
          <w:sz w:val="20"/>
        </w:rPr>
        <w:t xml:space="preserve"> (tel Twitter). Le juge administratif rencontre ces questions à travers deux offices : comme juge de l'élection, il se demande si des moyens de propagande interdits ou déloyaux remettent en cause le résultat de l'élection ; </w:t>
      </w:r>
      <w:r w:rsidRPr="00DD042F">
        <w:rPr>
          <w:sz w:val="20"/>
        </w:rPr>
        <w:lastRenderedPageBreak/>
        <w:t>comme juge du compte de campagne, ces instruments de propagande correspondent à des dépenses qui doivent toutes figurer dans le compte de campagne et qui peuvent être, au surplus, irrégulières.</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voeux (CE 8 juin 2015, n° 385721,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les inaugurations (CE 17 juin 2015, n° 385204,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Lebon T.</w:t>
      </w:r>
      <w:r w:rsidRPr="00DD042F">
        <w:rPr>
          <w:noProof/>
          <w:color w:val="0000FF"/>
          <w:sz w:val="20"/>
          <w:lang w:eastAsia="fr-FR"/>
        </w:rPr>
        <w:drawing>
          <wp:inline distT="0" distB="0" distL="0" distR="0" wp14:anchorId="28F55049" wp14:editId="6615C993">
            <wp:extent cx="123825" cy="123825"/>
            <wp:effectExtent l="0" t="0" r="9525" b="9525"/>
            <wp:docPr id="21" name="Image 21" descr="Document InterRevu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1242</w:t>
      </w:r>
      <w:r w:rsidRPr="00DD042F">
        <w:rPr>
          <w:noProof/>
          <w:color w:val="0000FF"/>
          <w:sz w:val="20"/>
          <w:lang w:eastAsia="fr-FR"/>
        </w:rPr>
        <w:drawing>
          <wp:inline distT="0" distB="0" distL="0" distR="0" wp14:anchorId="6CE2EA0F" wp14:editId="583A4399">
            <wp:extent cx="123825" cy="123825"/>
            <wp:effectExtent l="0" t="0" r="9525" b="9525"/>
            <wp:docPr id="20" name="Image 20" descr="http://www.dalloz.fr/documentation/hulkStatic/DZ/sharp_TRANSVERSE/images/picto-jurisprudenc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autres réunions d'information (CE 17 avr. 2015, n° 382194, </w:t>
      </w:r>
      <w:r w:rsidRPr="00DD042F">
        <w:rPr>
          <w:i/>
          <w:iCs/>
          <w:sz w:val="20"/>
        </w:rPr>
        <w:t xml:space="preserve">El. </w:t>
      </w:r>
      <w:proofErr w:type="spellStart"/>
      <w:r w:rsidRPr="00DD042F">
        <w:rPr>
          <w:i/>
          <w:iCs/>
          <w:sz w:val="20"/>
        </w:rPr>
        <w:t>mun</w:t>
      </w:r>
      <w:proofErr w:type="spellEnd"/>
      <w:r w:rsidRPr="00DD042F">
        <w:rPr>
          <w:i/>
          <w:iCs/>
          <w:sz w:val="20"/>
        </w:rPr>
        <w:t>. d'Audenge</w:t>
      </w:r>
      <w:r w:rsidRPr="00DD042F">
        <w:rPr>
          <w:sz w:val="20"/>
        </w:rPr>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La même jurisprudence s'applique </w:t>
      </w:r>
      <w:r w:rsidRPr="00DD042F">
        <w:rPr>
          <w:i/>
          <w:iCs/>
          <w:sz w:val="20"/>
        </w:rPr>
        <w:t>mutatis mutandis</w:t>
      </w:r>
      <w:r w:rsidRPr="00DD042F">
        <w:rPr>
          <w:sz w:val="20"/>
        </w:rPr>
        <w:t xml:space="preserve"> aux bulletins municipaux d'information, qui peuvent continuer à paraître durant la campagne selon leur rythme et format habituels, mais dont le contenu doit se borner à être informatif (CE 17 juin 2015, </w:t>
      </w:r>
      <w:r w:rsidRPr="00DD042F">
        <w:rPr>
          <w:i/>
          <w:iCs/>
          <w:sz w:val="20"/>
        </w:rPr>
        <w:t xml:space="preserve">El. </w:t>
      </w:r>
      <w:proofErr w:type="spellStart"/>
      <w:r w:rsidRPr="00DD042F">
        <w:rPr>
          <w:i/>
          <w:iCs/>
          <w:sz w:val="20"/>
        </w:rPr>
        <w:t>mun</w:t>
      </w:r>
      <w:proofErr w:type="spellEnd"/>
      <w:r w:rsidRPr="00DD042F">
        <w:rPr>
          <w:i/>
          <w:iCs/>
          <w:sz w:val="20"/>
        </w:rPr>
        <w:t>. de Bron</w:t>
      </w:r>
      <w:r w:rsidRPr="00DD042F">
        <w:rPr>
          <w:sz w:val="20"/>
        </w:rPr>
        <w:t xml:space="preserve">, </w:t>
      </w:r>
      <w:proofErr w:type="spellStart"/>
      <w:r w:rsidRPr="00DD042F">
        <w:rPr>
          <w:sz w:val="20"/>
        </w:rPr>
        <w:t>préc</w:t>
      </w:r>
      <w:proofErr w:type="spellEnd"/>
      <w:r w:rsidRPr="00DD042F">
        <w:rPr>
          <w:sz w:val="20"/>
        </w:rPr>
        <w:t xml:space="preserve">.) et témoigner de la retenue nécessaire au contexte électoral. Un numéro exceptionnel (CE 21 janv. 2015, n° 382824,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AJDA 2015. 906</w:t>
      </w:r>
      <w:r w:rsidRPr="00DD042F">
        <w:rPr>
          <w:noProof/>
          <w:color w:val="0000FF"/>
          <w:sz w:val="20"/>
          <w:lang w:eastAsia="fr-FR"/>
        </w:rPr>
        <w:drawing>
          <wp:inline distT="0" distB="0" distL="0" distR="0" wp14:anchorId="4E40320D" wp14:editId="0FCD0507">
            <wp:extent cx="123825" cy="123825"/>
            <wp:effectExtent l="0" t="0" r="9525" b="9525"/>
            <wp:docPr id="19" name="Image 19" descr="http://www.dalloz.fr/documentation/hulkStatic/DZ/sharp_TRANSVERSE/images/picto-jurisprudenc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10 juin 2015, n° 387896, </w:t>
      </w:r>
      <w:r w:rsidRPr="00DD042F">
        <w:rPr>
          <w:i/>
          <w:iCs/>
          <w:sz w:val="20"/>
        </w:rPr>
        <w:t>Commission nationale des comptes de campagne et des financements politiques [CNCCFP]</w:t>
      </w:r>
      <w:r w:rsidRPr="00DD042F">
        <w:rPr>
          <w:sz w:val="20"/>
        </w:rPr>
        <w:t>, Lebon T.</w:t>
      </w:r>
      <w:r w:rsidRPr="00DD042F">
        <w:rPr>
          <w:noProof/>
          <w:color w:val="0000FF"/>
          <w:sz w:val="20"/>
          <w:lang w:eastAsia="fr-FR"/>
        </w:rPr>
        <w:drawing>
          <wp:inline distT="0" distB="0" distL="0" distR="0" wp14:anchorId="47468B06" wp14:editId="785048D5">
            <wp:extent cx="123825" cy="123825"/>
            <wp:effectExtent l="0" t="0" r="9525" b="9525"/>
            <wp:docPr id="18" name="Image 18" descr="Document InterRevu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adoptant un ton particulièrement laudatif sur les réalisations de la commune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voire au soutien des candidats de l'équipe municipale sortante (CE 3 déc. 2014, n° 382217, </w:t>
      </w:r>
      <w:r w:rsidRPr="00DD042F">
        <w:rPr>
          <w:i/>
          <w:iCs/>
          <w:sz w:val="20"/>
        </w:rPr>
        <w:t xml:space="preserve">El. </w:t>
      </w:r>
      <w:proofErr w:type="spellStart"/>
      <w:r w:rsidRPr="00DD042F">
        <w:rPr>
          <w:i/>
          <w:iCs/>
          <w:sz w:val="20"/>
        </w:rPr>
        <w:t>mun</w:t>
      </w:r>
      <w:proofErr w:type="spellEnd"/>
      <w:r w:rsidRPr="00DD042F">
        <w:rPr>
          <w:i/>
          <w:iCs/>
          <w:sz w:val="20"/>
        </w:rPr>
        <w:t>. de La Croix-Saint-</w:t>
      </w:r>
      <w:proofErr w:type="spellStart"/>
      <w:r w:rsidRPr="00DD042F">
        <w:rPr>
          <w:i/>
          <w:iCs/>
          <w:sz w:val="20"/>
        </w:rPr>
        <w:t>Leuffroy</w:t>
      </w:r>
      <w:proofErr w:type="spellEnd"/>
      <w:r w:rsidRPr="00DD042F">
        <w:rPr>
          <w:sz w:val="20"/>
        </w:rPr>
        <w:t>, Lebon</w:t>
      </w:r>
      <w:r w:rsidRPr="00DD042F">
        <w:rPr>
          <w:noProof/>
          <w:color w:val="0000FF"/>
          <w:sz w:val="20"/>
          <w:lang w:eastAsia="fr-FR"/>
        </w:rPr>
        <w:drawing>
          <wp:inline distT="0" distB="0" distL="0" distR="0" wp14:anchorId="3B07038C" wp14:editId="171FE88E">
            <wp:extent cx="123825" cy="123825"/>
            <wp:effectExtent l="0" t="0" r="9525" b="9525"/>
            <wp:docPr id="17" name="Image 17" descr="Document InterRevu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2392</w:t>
      </w:r>
      <w:r w:rsidRPr="00DD042F">
        <w:rPr>
          <w:noProof/>
          <w:color w:val="0000FF"/>
          <w:sz w:val="20"/>
          <w:lang w:eastAsia="fr-FR"/>
        </w:rPr>
        <w:drawing>
          <wp:inline distT="0" distB="0" distL="0" distR="0" wp14:anchorId="3E294922" wp14:editId="50E76402">
            <wp:extent cx="123825" cy="123825"/>
            <wp:effectExtent l="0" t="0" r="9525" b="9525"/>
            <wp:docPr id="16" name="Image 16" descr="http://www.dalloz.fr/documentation/hulkStatic/DZ/sharp_TRANSVERSE/images/picto-jurisprudenc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parfois illustré de nombreuses photographies du maire en place (CE 8 juin 2015, </w:t>
      </w:r>
      <w:r w:rsidRPr="00DD042F">
        <w:rPr>
          <w:i/>
          <w:iCs/>
          <w:sz w:val="20"/>
        </w:rPr>
        <w:t xml:space="preserve">El. </w:t>
      </w:r>
      <w:proofErr w:type="spellStart"/>
      <w:r w:rsidRPr="00DD042F">
        <w:rPr>
          <w:i/>
          <w:iCs/>
          <w:sz w:val="20"/>
        </w:rPr>
        <w:t>mun</w:t>
      </w:r>
      <w:proofErr w:type="spellEnd"/>
      <w:r w:rsidRPr="00DD042F">
        <w:rPr>
          <w:i/>
          <w:iCs/>
          <w:sz w:val="20"/>
        </w:rPr>
        <w:t>. de Saint-Raphaël</w:t>
      </w:r>
      <w:r w:rsidRPr="00DD042F">
        <w:rPr>
          <w:sz w:val="20"/>
        </w:rPr>
        <w:t xml:space="preserve">, </w:t>
      </w:r>
      <w:proofErr w:type="spellStart"/>
      <w:r w:rsidRPr="00DD042F">
        <w:rPr>
          <w:sz w:val="20"/>
        </w:rPr>
        <w:t>préc</w:t>
      </w:r>
      <w:proofErr w:type="spellEnd"/>
      <w:r w:rsidRPr="00DD042F">
        <w:rPr>
          <w:sz w:val="20"/>
        </w:rPr>
        <w:t xml:space="preserve">. ; CE 21 janv. 2015,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Montcy</w:t>
      </w:r>
      <w:proofErr w:type="spellEnd"/>
      <w:r w:rsidRPr="00DD042F">
        <w:rPr>
          <w:i/>
          <w:iCs/>
          <w:sz w:val="20"/>
        </w:rPr>
        <w:t>-Notre-Dame,</w:t>
      </w:r>
      <w:r w:rsidRPr="00DD042F">
        <w:rPr>
          <w:sz w:val="20"/>
        </w:rPr>
        <w:t xml:space="preserve"> </w:t>
      </w:r>
      <w:proofErr w:type="spellStart"/>
      <w:r w:rsidRPr="00DD042F">
        <w:rPr>
          <w:sz w:val="20"/>
        </w:rPr>
        <w:t>préc</w:t>
      </w:r>
      <w:proofErr w:type="spellEnd"/>
      <w:r w:rsidRPr="00DD042F">
        <w:rPr>
          <w:sz w:val="20"/>
        </w:rPr>
        <w:t xml:space="preserve">.), lequel aura ouvert le bulletin par un éditorial engagé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sz w:val="20"/>
        </w:rPr>
        <w:t>Barèges</w:t>
      </w:r>
      <w:r w:rsidRPr="00DD042F">
        <w:rPr>
          <w:sz w:val="20"/>
        </w:rPr>
        <w:t>, Lebon T.</w:t>
      </w:r>
      <w:r w:rsidRPr="00DD042F">
        <w:rPr>
          <w:noProof/>
          <w:color w:val="0000FF"/>
          <w:sz w:val="20"/>
          <w:lang w:eastAsia="fr-FR"/>
        </w:rPr>
        <w:drawing>
          <wp:inline distT="0" distB="0" distL="0" distR="0" wp14:anchorId="57F48594" wp14:editId="5AB56B56">
            <wp:extent cx="123825" cy="123825"/>
            <wp:effectExtent l="0" t="0" r="9525" b="9525"/>
            <wp:docPr id="15" name="Image 15" descr="Document InterRevu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E3A3A5" wp14:editId="4409F63D">
            <wp:extent cx="123825" cy="123825"/>
            <wp:effectExtent l="0" t="0" r="9525" b="9525"/>
            <wp:docPr id="14" name="Image 14" descr="http://www.dalloz.fr/documentation/hulkStatic/DZ/sharp_TRANSVERSE/images/picto-jurispruden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En revanche, il n'est pas interdit par principe à la commune de recourir à cette méthode d'information des électeurs durant les six mois précédant l'élection (CE 17 avr. 2015, n° 386091, </w:t>
      </w:r>
      <w:r w:rsidRPr="00DD042F">
        <w:rPr>
          <w:i/>
          <w:iCs/>
          <w:sz w:val="20"/>
        </w:rPr>
        <w:t xml:space="preserve">El. </w:t>
      </w:r>
      <w:proofErr w:type="spellStart"/>
      <w:r w:rsidRPr="00DD042F">
        <w:rPr>
          <w:i/>
          <w:iCs/>
          <w:sz w:val="20"/>
        </w:rPr>
        <w:t>mun</w:t>
      </w:r>
      <w:proofErr w:type="spellEnd"/>
      <w:r w:rsidRPr="00DD042F">
        <w:rPr>
          <w:i/>
          <w:iCs/>
          <w:sz w:val="20"/>
        </w:rPr>
        <w:t>. de Metz,</w:t>
      </w:r>
      <w:r w:rsidRPr="00DD042F">
        <w:rPr>
          <w:sz w:val="20"/>
        </w:rPr>
        <w:t xml:space="preserve"> </w:t>
      </w:r>
      <w:proofErr w:type="spellStart"/>
      <w:r w:rsidRPr="00DD042F">
        <w:rPr>
          <w:sz w:val="20"/>
        </w:rPr>
        <w:t>préc</w:t>
      </w:r>
      <w:proofErr w:type="spellEnd"/>
      <w:r w:rsidRPr="00DD042F">
        <w:rPr>
          <w:sz w:val="20"/>
        </w:rPr>
        <w:t>.).</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sz w:val="20"/>
        </w:rPr>
        <w:t xml:space="preserve">El. </w:t>
      </w:r>
      <w:proofErr w:type="spellStart"/>
      <w:r w:rsidRPr="00DD042F">
        <w:rPr>
          <w:i/>
          <w:iCs/>
          <w:sz w:val="20"/>
        </w:rPr>
        <w:t>mun</w:t>
      </w:r>
      <w:proofErr w:type="spellEnd"/>
      <w:r w:rsidRPr="00DD042F">
        <w:rPr>
          <w:i/>
          <w:iCs/>
          <w:sz w:val="20"/>
        </w:rPr>
        <w:t>. de Salles,</w:t>
      </w:r>
      <w:r w:rsidRPr="00DD042F">
        <w:rPr>
          <w:sz w:val="20"/>
        </w:rPr>
        <w:t xml:space="preserve"> Lebon T.</w:t>
      </w:r>
      <w:r w:rsidRPr="00DD042F">
        <w:rPr>
          <w:noProof/>
          <w:color w:val="0000FF"/>
          <w:sz w:val="20"/>
          <w:lang w:eastAsia="fr-FR"/>
        </w:rPr>
        <w:drawing>
          <wp:inline distT="0" distB="0" distL="0" distR="0" wp14:anchorId="4D386165" wp14:editId="06FD345D">
            <wp:extent cx="123825" cy="123825"/>
            <wp:effectExtent l="0" t="0" r="9525" b="9525"/>
            <wp:docPr id="13" name="Image 13" descr="Document InterRevu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2220</w:t>
      </w:r>
      <w:r w:rsidRPr="00DD042F">
        <w:rPr>
          <w:noProof/>
          <w:color w:val="0000FF"/>
          <w:sz w:val="20"/>
          <w:lang w:eastAsia="fr-FR"/>
        </w:rPr>
        <w:drawing>
          <wp:inline distT="0" distB="0" distL="0" distR="0" wp14:anchorId="3ACE9101" wp14:editId="219D9634">
            <wp:extent cx="123825" cy="123825"/>
            <wp:effectExtent l="0" t="0" r="9525" b="9525"/>
            <wp:docPr id="12" name="Image 12" descr="http://www.dalloz.fr/documentation/hulkStatic/DZ/sharp_TRANSVERSE/images/picto-jurisprudenc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sz w:val="20"/>
        </w:rPr>
        <w:t xml:space="preserve">El. </w:t>
      </w:r>
      <w:proofErr w:type="spellStart"/>
      <w:r w:rsidRPr="00DD042F">
        <w:rPr>
          <w:i/>
          <w:iCs/>
          <w:sz w:val="20"/>
        </w:rPr>
        <w:t>mun</w:t>
      </w:r>
      <w:proofErr w:type="spellEnd"/>
      <w:r w:rsidRPr="00DD042F">
        <w:rPr>
          <w:i/>
          <w:iCs/>
          <w:sz w:val="20"/>
        </w:rPr>
        <w:t>. de Clichy</w:t>
      </w:r>
      <w:r w:rsidRPr="00DD042F">
        <w:rPr>
          <w:sz w:val="20"/>
        </w:rPr>
        <w:t>, Lebon</w:t>
      </w:r>
      <w:r w:rsidRPr="00DD042F">
        <w:rPr>
          <w:noProof/>
          <w:color w:val="0000FF"/>
          <w:sz w:val="20"/>
          <w:lang w:eastAsia="fr-FR"/>
        </w:rPr>
        <w:drawing>
          <wp:inline distT="0" distB="0" distL="0" distR="0" wp14:anchorId="3597FD44" wp14:editId="22DBF245">
            <wp:extent cx="123825" cy="123825"/>
            <wp:effectExtent l="0" t="0" r="9525" b="9525"/>
            <wp:docPr id="11" name="Image 11" descr="Document InterRevu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1014</w:t>
      </w:r>
      <w:r w:rsidRPr="00DD042F">
        <w:rPr>
          <w:noProof/>
          <w:color w:val="0000FF"/>
          <w:sz w:val="20"/>
          <w:lang w:eastAsia="fr-FR"/>
        </w:rPr>
        <w:drawing>
          <wp:inline distT="0" distB="0" distL="0" distR="0" wp14:anchorId="6AEA0F5D" wp14:editId="305C5BDF">
            <wp:extent cx="123825" cy="123825"/>
            <wp:effectExtent l="0" t="0" r="9525" b="9525"/>
            <wp:docPr id="10" name="Image 10" descr="http://www.dalloz.fr/documentation/hulkStatic/DZ/sharp_TRANSVERSE/images/picto-jurisprudenc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3 déc. 2014, n° 383240, </w:t>
      </w:r>
      <w:r w:rsidRPr="00DD042F">
        <w:rPr>
          <w:i/>
          <w:iCs/>
          <w:sz w:val="20"/>
        </w:rPr>
        <w:t xml:space="preserve">El. </w:t>
      </w:r>
      <w:proofErr w:type="spellStart"/>
      <w:r w:rsidRPr="00DD042F">
        <w:rPr>
          <w:i/>
          <w:iCs/>
          <w:sz w:val="20"/>
        </w:rPr>
        <w:t>mun</w:t>
      </w:r>
      <w:proofErr w:type="spellEnd"/>
      <w:r w:rsidRPr="00DD042F">
        <w:rPr>
          <w:i/>
          <w:iCs/>
          <w:sz w:val="20"/>
        </w:rPr>
        <w:t>. du Pin</w:t>
      </w:r>
      <w:r w:rsidRPr="00DD042F">
        <w:rPr>
          <w:sz w:val="20"/>
        </w:rPr>
        <w:t>, AJDA 2015. 590</w:t>
      </w:r>
      <w:r w:rsidRPr="00DD042F">
        <w:rPr>
          <w:noProof/>
          <w:color w:val="0000FF"/>
          <w:sz w:val="20"/>
          <w:lang w:eastAsia="fr-FR"/>
        </w:rPr>
        <w:drawing>
          <wp:inline distT="0" distB="0" distL="0" distR="0" wp14:anchorId="623D41DE" wp14:editId="6314C2E7">
            <wp:extent cx="123825" cy="123825"/>
            <wp:effectExtent l="0" t="0" r="9525" b="9525"/>
            <wp:docPr id="9" name="Image 9" descr="http://www.dalloz.fr/documentation/hulkStatic/DZ/sharp_TRANSVERSE/images/picto-jurisprudence.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note B. </w:t>
      </w:r>
      <w:proofErr w:type="spellStart"/>
      <w:r w:rsidRPr="00DD042F">
        <w:rPr>
          <w:sz w:val="20"/>
        </w:rPr>
        <w:t>Maligner</w:t>
      </w:r>
      <w:proofErr w:type="spellEnd"/>
      <w:r w:rsidRPr="00DD042F">
        <w:rPr>
          <w:noProof/>
          <w:color w:val="0000FF"/>
          <w:sz w:val="20"/>
          <w:lang w:eastAsia="fr-FR"/>
        </w:rPr>
        <w:drawing>
          <wp:inline distT="0" distB="0" distL="0" distR="0" wp14:anchorId="2E860F48" wp14:editId="6804FE31">
            <wp:extent cx="123825" cy="123825"/>
            <wp:effectExtent l="0" t="0" r="9525" b="9525"/>
            <wp:docPr id="8" name="Image 8" descr="http://www.dalloz.fr/documentation/hulkStatic/DZ/sharp_TRANSVERSE/images/picto-doctrin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sz w:val="20"/>
        </w:rPr>
        <w:t>Pagny</w:t>
      </w:r>
      <w:proofErr w:type="spellEnd"/>
      <w:r w:rsidRPr="00DD042F">
        <w:rPr>
          <w:sz w:val="20"/>
        </w:rPr>
        <w:t>, Lebon T.</w:t>
      </w:r>
      <w:r w:rsidRPr="00DD042F">
        <w:rPr>
          <w:noProof/>
          <w:color w:val="0000FF"/>
          <w:sz w:val="20"/>
          <w:lang w:eastAsia="fr-FR"/>
        </w:rPr>
        <w:drawing>
          <wp:inline distT="0" distB="0" distL="0" distR="0" wp14:anchorId="2298911E" wp14:editId="5203F447">
            <wp:extent cx="123825" cy="123825"/>
            <wp:effectExtent l="0" t="0" r="9525" b="9525"/>
            <wp:docPr id="7" name="Image 7" descr="Document InterRevu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BF3376" wp14:editId="4E2636BE">
            <wp:extent cx="123825" cy="123825"/>
            <wp:effectExtent l="0" t="0" r="9525" b="9525"/>
            <wp:docPr id="6" name="Image 6" descr="http://www.dalloz.fr/documentation/hulkStatic/DZ/sharp_TRANSVERSE/images/picto-jurisprudenc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sz w:val="20"/>
        </w:rPr>
        <w:t xml:space="preserve">El. </w:t>
      </w:r>
      <w:proofErr w:type="spellStart"/>
      <w:r w:rsidRPr="00DD042F">
        <w:rPr>
          <w:i/>
          <w:iCs/>
          <w:sz w:val="20"/>
        </w:rPr>
        <w:t>mun</w:t>
      </w:r>
      <w:proofErr w:type="spellEnd"/>
      <w:r w:rsidRPr="00DD042F">
        <w:rPr>
          <w:i/>
          <w:iCs/>
          <w:sz w:val="20"/>
        </w:rPr>
        <w:t>. de Thionville</w:t>
      </w:r>
      <w:r w:rsidRPr="00DD042F">
        <w:rPr>
          <w:sz w:val="20"/>
        </w:rPr>
        <w:t>, Lebon</w:t>
      </w:r>
      <w:r w:rsidRPr="00DD042F">
        <w:rPr>
          <w:noProof/>
          <w:color w:val="0000FF"/>
          <w:sz w:val="20"/>
          <w:lang w:eastAsia="fr-FR"/>
        </w:rPr>
        <w:drawing>
          <wp:inline distT="0" distB="0" distL="0" distR="0" wp14:anchorId="2B0F010C" wp14:editId="79A80405">
            <wp:extent cx="123825" cy="123825"/>
            <wp:effectExtent l="0" t="0" r="9525" b="9525"/>
            <wp:docPr id="5" name="Image 5" descr="Document InterRevu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L'office du juge de l'élection est d'abord d'apprécier la sincérité du scrutin et non d'imputer les manquements.</w:t>
      </w:r>
    </w:p>
    <w:p w:rsidR="00DD042F" w:rsidRDefault="00DD042F" w:rsidP="00DD042F">
      <w:pPr>
        <w:ind w:firstLine="426"/>
        <w:jc w:val="both"/>
        <w:rPr>
          <w:sz w:val="20"/>
        </w:rPr>
      </w:pPr>
    </w:p>
    <w:p w:rsidR="00DD042F" w:rsidRDefault="00DD042F" w:rsidP="00DD042F">
      <w:pPr>
        <w:ind w:firstLine="426"/>
        <w:jc w:val="both"/>
        <w:rPr>
          <w:sz w:val="20"/>
        </w:rPr>
      </w:pPr>
      <w:r w:rsidRPr="00DD042F">
        <w:rPr>
          <w:sz w:val="20"/>
        </w:rPr>
        <w:t xml:space="preserve">Il ne suffit pas d'un nouveau « slogan » pour qu'il y ait nouvelle polémique (CE 10 juin 2015, n° 386062, </w:t>
      </w:r>
      <w:r w:rsidRPr="00DD042F">
        <w:rPr>
          <w:i/>
          <w:iCs/>
          <w:sz w:val="20"/>
        </w:rPr>
        <w:t xml:space="preserve">El. </w:t>
      </w:r>
      <w:proofErr w:type="spellStart"/>
      <w:r w:rsidRPr="00DD042F">
        <w:rPr>
          <w:i/>
          <w:iCs/>
          <w:sz w:val="20"/>
        </w:rPr>
        <w:t>mun</w:t>
      </w:r>
      <w:proofErr w:type="spellEnd"/>
      <w:r w:rsidRPr="00DD042F">
        <w:rPr>
          <w:i/>
          <w:iCs/>
          <w:sz w:val="20"/>
        </w:rPr>
        <w:t>. et communautaires de Chilly-Mazarin</w:t>
      </w:r>
      <w:r w:rsidRPr="00DD042F">
        <w:rPr>
          <w:sz w:val="20"/>
        </w:rPr>
        <w:t>, Lebon T.</w:t>
      </w:r>
      <w:r w:rsidRPr="00DD042F">
        <w:rPr>
          <w:noProof/>
          <w:color w:val="0000FF"/>
          <w:sz w:val="20"/>
          <w:lang w:eastAsia="fr-FR"/>
        </w:rPr>
        <w:drawing>
          <wp:inline distT="0" distB="0" distL="0" distR="0" wp14:anchorId="3DAF2BC7" wp14:editId="042F43CB">
            <wp:extent cx="123825" cy="123825"/>
            <wp:effectExtent l="0" t="0" r="9525" b="9525"/>
            <wp:docPr id="4" name="Image 4" descr="Document InterRevu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si un élément nouveau apparaît le vendredi au matin, le juge peut estimer que le candidat visé dispose d'un temps suffisant pour y répondre (CE 17 avr. 2015, </w:t>
      </w:r>
      <w:r w:rsidRPr="00DD042F">
        <w:rPr>
          <w:i/>
          <w:iCs/>
          <w:sz w:val="20"/>
        </w:rPr>
        <w:t xml:space="preserve">El. </w:t>
      </w:r>
      <w:proofErr w:type="spellStart"/>
      <w:r w:rsidRPr="00DD042F">
        <w:rPr>
          <w:i/>
          <w:iCs/>
          <w:sz w:val="20"/>
        </w:rPr>
        <w:t>mun</w:t>
      </w:r>
      <w:proofErr w:type="spellEnd"/>
      <w:r w:rsidRPr="00DD042F">
        <w:rPr>
          <w:i/>
          <w:iCs/>
          <w:sz w:val="20"/>
        </w:rPr>
        <w:t xml:space="preserve">. de Paris </w:t>
      </w:r>
      <w:proofErr w:type="gramStart"/>
      <w:r w:rsidRPr="00DD042F">
        <w:rPr>
          <w:i/>
          <w:iCs/>
          <w:sz w:val="20"/>
        </w:rPr>
        <w:t>4</w:t>
      </w:r>
      <w:r w:rsidRPr="00DD042F">
        <w:rPr>
          <w:i/>
          <w:iCs/>
          <w:sz w:val="20"/>
          <w:vertAlign w:val="superscript"/>
        </w:rPr>
        <w:t>e</w:t>
      </w:r>
      <w:r w:rsidRPr="00DD042F">
        <w:rPr>
          <w:i/>
          <w:iCs/>
          <w:sz w:val="20"/>
        </w:rPr>
        <w:t xml:space="preserve"> </w:t>
      </w:r>
      <w:r w:rsidRPr="00DD042F">
        <w:rPr>
          <w:sz w:val="20"/>
        </w:rPr>
        <w:t>,</w:t>
      </w:r>
      <w:proofErr w:type="gramEnd"/>
      <w:r w:rsidRPr="00DD042F">
        <w:rPr>
          <w:sz w:val="20"/>
        </w:rPr>
        <w:t xml:space="preserve"> n° 385496). En revanche, la large diffusion d'un tract le vendredi soir contenant un nouvel engagement du candidat peut entraîner l'annulation de l'élection (CE 25 févr. 2015, n° 385686, </w:t>
      </w:r>
      <w:r w:rsidRPr="00DD042F">
        <w:rPr>
          <w:i/>
          <w:iCs/>
          <w:sz w:val="20"/>
        </w:rPr>
        <w:t xml:space="preserve">El. </w:t>
      </w:r>
      <w:proofErr w:type="spellStart"/>
      <w:r w:rsidRPr="00DD042F">
        <w:rPr>
          <w:i/>
          <w:iCs/>
          <w:sz w:val="20"/>
        </w:rPr>
        <w:t>mun</w:t>
      </w:r>
      <w:proofErr w:type="spellEnd"/>
      <w:r w:rsidRPr="00DD042F">
        <w:rPr>
          <w:i/>
          <w:iCs/>
          <w:sz w:val="20"/>
        </w:rPr>
        <w:t>. de Voisins-le-Bretonneux</w:t>
      </w:r>
      <w:r w:rsidRPr="00DD042F">
        <w:rPr>
          <w:sz w:val="20"/>
        </w:rPr>
        <w:t>, Lebon T.</w:t>
      </w:r>
      <w:r w:rsidRPr="00DD042F">
        <w:rPr>
          <w:noProof/>
          <w:color w:val="0000FF"/>
          <w:sz w:val="20"/>
          <w:lang w:eastAsia="fr-FR"/>
        </w:rPr>
        <w:drawing>
          <wp:inline distT="0" distB="0" distL="0" distR="0" wp14:anchorId="244875B3" wp14:editId="0AD81B4A">
            <wp:extent cx="123825" cy="123825"/>
            <wp:effectExtent l="0" t="0" r="9525" b="9525"/>
            <wp:docPr id="3" name="Image 3" descr="Document InterRevu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423</w:t>
      </w:r>
      <w:r w:rsidRPr="00DD042F">
        <w:rPr>
          <w:noProof/>
          <w:color w:val="0000FF"/>
          <w:sz w:val="20"/>
          <w:lang w:eastAsia="fr-FR"/>
        </w:rPr>
        <w:drawing>
          <wp:inline distT="0" distB="0" distL="0" distR="0" wp14:anchorId="1F9B8F65" wp14:editId="2DD8E14C">
            <wp:extent cx="123825" cy="123825"/>
            <wp:effectExtent l="0" t="0" r="9525" b="9525"/>
            <wp:docPr id="2" name="Image 2" descr="http://www.dalloz.fr/documentation/hulkStatic/DZ/sharp_TRANSVERSE/images/picto-jurisprudenc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w:t>
      </w:r>
      <w:r w:rsidRPr="00DD042F">
        <w:rPr>
          <w:sz w:val="20"/>
        </w:rPr>
        <w:lastRenderedPageBreak/>
        <w:t xml:space="preserve">électeurs à le rejoindre pour prendre connaissance des résultats (CE 10 juin 2015, </w:t>
      </w:r>
      <w:r w:rsidRPr="00DD042F">
        <w:rPr>
          <w:i/>
          <w:iCs/>
          <w:sz w:val="20"/>
        </w:rPr>
        <w:t xml:space="preserve">El. </w:t>
      </w:r>
      <w:proofErr w:type="spellStart"/>
      <w:r w:rsidRPr="00DD042F">
        <w:rPr>
          <w:i/>
          <w:iCs/>
          <w:sz w:val="20"/>
        </w:rPr>
        <w:t>mun</w:t>
      </w:r>
      <w:proofErr w:type="spellEnd"/>
      <w:r w:rsidRPr="00DD042F">
        <w:rPr>
          <w:i/>
          <w:iCs/>
          <w:sz w:val="20"/>
        </w:rPr>
        <w:t>. de Chilly-Mazarin</w:t>
      </w:r>
      <w:r w:rsidRPr="00DD042F">
        <w:rPr>
          <w:sz w:val="20"/>
        </w:rPr>
        <w:t xml:space="preserve">, </w:t>
      </w:r>
      <w:proofErr w:type="spellStart"/>
      <w:r w:rsidRPr="00DD042F">
        <w:rPr>
          <w:sz w:val="20"/>
        </w:rPr>
        <w:t>préc</w:t>
      </w:r>
      <w:proofErr w:type="spellEnd"/>
      <w:r w:rsidRPr="00DD042F">
        <w:rPr>
          <w:sz w:val="20"/>
        </w:rPr>
        <w:t xml:space="preserve">.). En revanche, le déploiement d'une banderole le jour même du scrutin, en dehors des emplacements réservés aux affiches électorales (C. </w:t>
      </w:r>
      <w:proofErr w:type="spellStart"/>
      <w:proofErr w:type="gramStart"/>
      <w:r w:rsidRPr="00DD042F">
        <w:rPr>
          <w:sz w:val="20"/>
        </w:rPr>
        <w:t>élect</w:t>
      </w:r>
      <w:proofErr w:type="spellEnd"/>
      <w:r w:rsidRPr="00DD042F">
        <w:rPr>
          <w:sz w:val="20"/>
        </w:rPr>
        <w:t>.,</w:t>
      </w:r>
      <w:proofErr w:type="gramEnd"/>
      <w:r w:rsidRPr="00DD042F">
        <w:rPr>
          <w:sz w:val="20"/>
        </w:rPr>
        <w:t xml:space="preserve"> art. L. 51) peut entraîner l'annulation du scrutin (CE 10 juin 2015, n° 383585, </w:t>
      </w:r>
      <w:r w:rsidRPr="00DD042F">
        <w:rPr>
          <w:i/>
          <w:iCs/>
          <w:sz w:val="20"/>
        </w:rPr>
        <w:t xml:space="preserve">El. </w:t>
      </w:r>
      <w:proofErr w:type="spellStart"/>
      <w:r w:rsidRPr="00DD042F">
        <w:rPr>
          <w:i/>
          <w:iCs/>
          <w:sz w:val="20"/>
        </w:rPr>
        <w:t>mun</w:t>
      </w:r>
      <w:proofErr w:type="spellEnd"/>
      <w:r w:rsidRPr="00DD042F">
        <w:rPr>
          <w:i/>
          <w:iCs/>
          <w:sz w:val="20"/>
        </w:rPr>
        <w:t xml:space="preserve">. de </w:t>
      </w:r>
      <w:proofErr w:type="spellStart"/>
      <w:r w:rsidRPr="00DD042F">
        <w:rPr>
          <w:i/>
          <w:iCs/>
          <w:sz w:val="20"/>
        </w:rPr>
        <w:t>Michelbach</w:t>
      </w:r>
      <w:proofErr w:type="spellEnd"/>
      <w:r w:rsidRPr="00DD042F">
        <w:rPr>
          <w:i/>
          <w:iCs/>
          <w:sz w:val="20"/>
        </w:rPr>
        <w:t>-</w:t>
      </w:r>
      <w:proofErr w:type="spellStart"/>
      <w:r w:rsidRPr="00DD042F">
        <w:rPr>
          <w:i/>
          <w:iCs/>
          <w:sz w:val="20"/>
        </w:rPr>
        <w:t>le-Bas</w:t>
      </w:r>
      <w:proofErr w:type="spellEnd"/>
      <w:r w:rsidRPr="00DD042F">
        <w:rPr>
          <w:sz w:val="20"/>
        </w:rPr>
        <w:t>, Lebon T.</w:t>
      </w:r>
      <w:r w:rsidRPr="00DD042F">
        <w:rPr>
          <w:noProof/>
          <w:color w:val="0000FF"/>
          <w:sz w:val="20"/>
          <w:lang w:eastAsia="fr-FR"/>
        </w:rPr>
        <w:drawing>
          <wp:inline distT="0" distB="0" distL="0" distR="0" wp14:anchorId="7447DEA6" wp14:editId="04356F6F">
            <wp:extent cx="123825" cy="123825"/>
            <wp:effectExtent l="0" t="0" r="9525" b="9525"/>
            <wp:docPr id="1" name="Image 1"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rPr>
          <w:sz w:val="20"/>
        </w:rPr>
        <w:t>préc</w:t>
      </w:r>
      <w:proofErr w:type="spellEnd"/>
      <w:r w:rsidRPr="00DD042F">
        <w:rPr>
          <w:sz w:val="20"/>
        </w:rPr>
        <w:t>.).</w:t>
      </w:r>
    </w:p>
    <w:p w:rsidR="007127EA" w:rsidRDefault="007127EA">
      <w:pPr>
        <w:rPr>
          <w:sz w:val="20"/>
        </w:rPr>
      </w:pPr>
    </w:p>
    <w:p w:rsidR="00EA5ADF" w:rsidRDefault="00EA5ADF">
      <w:pPr>
        <w:rPr>
          <w:sz w:val="20"/>
        </w:rPr>
      </w:pPr>
    </w:p>
    <w:p w:rsidR="007127EA" w:rsidRPr="007127EA" w:rsidRDefault="007127EA" w:rsidP="00DD042F">
      <w:pPr>
        <w:ind w:firstLine="426"/>
        <w:jc w:val="both"/>
        <w:rPr>
          <w:b/>
        </w:rPr>
      </w:pPr>
      <w:r w:rsidRPr="007127EA">
        <w:rPr>
          <w:b/>
        </w:rPr>
        <w:t>Extrait</w:t>
      </w:r>
      <w:r>
        <w:rPr>
          <w:b/>
        </w:rPr>
        <w:t xml:space="preserve"> de</w:t>
      </w:r>
      <w:r w:rsidRPr="007127EA">
        <w:rPr>
          <w:b/>
        </w:rPr>
        <w:t xml:space="preserve"> </w:t>
      </w:r>
      <w:r w:rsidRPr="007127EA">
        <w:rPr>
          <w:b/>
        </w:rPr>
        <w:t xml:space="preserve">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w:t>
      </w:r>
      <w:r w:rsidRPr="007127EA">
        <w:rPr>
          <w:b/>
          <w:noProof/>
          <w:color w:val="0000FF"/>
          <w:lang w:eastAsia="fr-FR"/>
        </w:rPr>
        <w:drawing>
          <wp:inline distT="0" distB="0" distL="0" distR="0" wp14:anchorId="35C527FD" wp14:editId="679BDC04">
            <wp:extent cx="123825" cy="123825"/>
            <wp:effectExtent l="0" t="0" r="9525" b="9525"/>
            <wp:docPr id="23" name="Image 23" descr="Document InterRevu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cument InterRevues">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 AJDA 2015. 1241</w:t>
      </w:r>
      <w:r w:rsidRPr="007127EA">
        <w:rPr>
          <w:b/>
          <w:noProof/>
          <w:color w:val="0000FF"/>
          <w:lang w:eastAsia="fr-FR"/>
        </w:rPr>
        <w:drawing>
          <wp:inline distT="0" distB="0" distL="0" distR="0" wp14:anchorId="61546DC0" wp14:editId="7F0358F4">
            <wp:extent cx="123825" cy="123825"/>
            <wp:effectExtent l="0" t="0" r="9525" b="9525"/>
            <wp:docPr id="22" name="Image 22" descr="http://www.dalloz.fr/documentation/hulkStatic/DZ/sharp_TRANSVERSE/images/picto-jurisprudenc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alloz.fr/documentation/hulkStatic/DZ/sharp_TRANSVERSE/images/picto-jurisprudence.gif">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9E1EAF" w:rsidRDefault="007127EA" w:rsidP="00DD042F">
      <w:pPr>
        <w:ind w:firstLine="426"/>
        <w:jc w:val="both"/>
        <w:rPr>
          <w:sz w:val="22"/>
        </w:rPr>
      </w:pPr>
      <w:r>
        <w:br/>
      </w: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9E1EAF" w:rsidRDefault="009E1EAF" w:rsidP="00DD042F">
      <w:pPr>
        <w:ind w:firstLine="426"/>
        <w:jc w:val="both"/>
        <w:rPr>
          <w:sz w:val="22"/>
        </w:rPr>
      </w:pPr>
    </w:p>
    <w:p w:rsidR="00503619" w:rsidRPr="009E1EAF" w:rsidRDefault="007127EA" w:rsidP="00DD042F">
      <w:pPr>
        <w:ind w:firstLine="426"/>
        <w:jc w:val="both"/>
        <w:rPr>
          <w:sz w:val="22"/>
        </w:rPr>
      </w:pPr>
      <w:r w:rsidRPr="009E1EAF">
        <w:rPr>
          <w:sz w:val="22"/>
        </w:rPr>
        <w:t xml:space="preserve">7. Considérant </w:t>
      </w:r>
      <w:r w:rsidRPr="009E1EAF">
        <w:rPr>
          <w:b/>
          <w:sz w:val="22"/>
        </w:rPr>
        <w:t>qu'il résulte de l'instruction</w:t>
      </w:r>
      <w:r w:rsidRPr="009E1EAF">
        <w:rPr>
          <w:sz w:val="22"/>
        </w:rPr>
        <w:t xml:space="preserve"> que Mme</w:t>
      </w:r>
      <w:r w:rsidRPr="009E1EAF">
        <w:rPr>
          <w:sz w:val="22"/>
        </w:rPr>
        <w:t xml:space="preserve"> </w:t>
      </w:r>
      <w:r w:rsidRPr="009E1EAF">
        <w:rPr>
          <w:sz w:val="22"/>
        </w:rPr>
        <w:t>I..., maire sortante, a diffusé le 29 mars 2014 sur le réseau social Twitter un message électronique critiquant l'évaluation qui aurait été faite par Mme</w:t>
      </w:r>
      <w:r w:rsidRPr="009E1EAF">
        <w:rPr>
          <w:sz w:val="22"/>
        </w:rPr>
        <w:t xml:space="preserve"> </w:t>
      </w:r>
      <w:r w:rsidRPr="009E1EAF">
        <w:rPr>
          <w:sz w:val="22"/>
        </w:rPr>
        <w:t xml:space="preserve">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7127EA" w:rsidRPr="009E1EAF" w:rsidRDefault="007127EA" w:rsidP="00DD042F">
      <w:pPr>
        <w:ind w:firstLine="426"/>
        <w:jc w:val="both"/>
        <w:rPr>
          <w:sz w:val="22"/>
        </w:rPr>
      </w:pPr>
    </w:p>
    <w:p w:rsidR="007127EA" w:rsidRPr="009E1EAF" w:rsidRDefault="007127EA" w:rsidP="00DD042F">
      <w:pPr>
        <w:ind w:firstLine="426"/>
        <w:jc w:val="both"/>
        <w:rPr>
          <w:sz w:val="22"/>
        </w:rPr>
      </w:pPr>
    </w:p>
    <w:p w:rsidR="007127EA" w:rsidRPr="009E1EAF" w:rsidRDefault="007127EA" w:rsidP="00DD042F">
      <w:pPr>
        <w:ind w:firstLine="426"/>
        <w:jc w:val="both"/>
        <w:rPr>
          <w:b/>
          <w:sz w:val="22"/>
        </w:rPr>
      </w:pPr>
      <w:r w:rsidRPr="009E1EAF">
        <w:rPr>
          <w:b/>
          <w:sz w:val="22"/>
        </w:rPr>
        <w:t xml:space="preserve">Extrait de CE 27 juin 2016, n° </w:t>
      </w:r>
      <w:r w:rsidRPr="009E1EAF">
        <w:rPr>
          <w:rStyle w:val="lev"/>
          <w:sz w:val="22"/>
        </w:rPr>
        <w:t>395413</w:t>
      </w:r>
      <w:r w:rsidRPr="009E1EAF">
        <w:rPr>
          <w:rStyle w:val="lev"/>
          <w:b w:val="0"/>
          <w:sz w:val="22"/>
        </w:rPr>
        <w:t xml:space="preserve">    </w:t>
      </w:r>
      <w:r w:rsidRPr="009E1EAF">
        <w:rPr>
          <w:rStyle w:val="lev"/>
          <w:b w:val="0"/>
          <w:sz w:val="22"/>
        </w:rPr>
        <w:t>C</w:t>
      </w:r>
      <w:r w:rsidRPr="009E1EAF">
        <w:rPr>
          <w:b/>
          <w:sz w:val="22"/>
        </w:rPr>
        <w:t>onseil régional de Normandie</w:t>
      </w:r>
      <w:r w:rsidRPr="009E1EAF">
        <w:rPr>
          <w:b/>
          <w:sz w:val="22"/>
        </w:rPr>
        <w:t xml:space="preserve"> </w:t>
      </w:r>
    </w:p>
    <w:p w:rsidR="009E1EAF" w:rsidRDefault="007127EA" w:rsidP="00DD042F">
      <w:pPr>
        <w:ind w:firstLine="426"/>
        <w:jc w:val="both"/>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9E1EAF" w:rsidRDefault="009E1EAF" w:rsidP="00DD042F">
      <w:pPr>
        <w:ind w:firstLine="426"/>
        <w:jc w:val="both"/>
        <w:rPr>
          <w:sz w:val="22"/>
        </w:rPr>
      </w:pPr>
    </w:p>
    <w:p w:rsidR="009E1EAF" w:rsidRDefault="007127EA" w:rsidP="00DD042F">
      <w:pPr>
        <w:ind w:firstLine="426"/>
        <w:jc w:val="both"/>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elle n'a pas été de nature à altérer la sincérité du scrutin, eu égard à son contenu qui n'apportait aucun élément nouveau au débat électoral ;</w:t>
      </w:r>
    </w:p>
    <w:p w:rsidR="009E1EAF" w:rsidRDefault="009E1EAF" w:rsidP="00DD042F">
      <w:pPr>
        <w:ind w:firstLine="426"/>
        <w:jc w:val="both"/>
        <w:rPr>
          <w:sz w:val="22"/>
        </w:rPr>
      </w:pPr>
    </w:p>
    <w:p w:rsidR="007127EA" w:rsidRDefault="007127EA" w:rsidP="00DD042F">
      <w:pPr>
        <w:ind w:firstLine="426"/>
        <w:jc w:val="both"/>
        <w:rPr>
          <w:sz w:val="22"/>
        </w:rPr>
      </w:pPr>
      <w:r w:rsidRPr="009E1EAF">
        <w:rPr>
          <w:sz w:val="22"/>
        </w:rPr>
        <w:t>5. Considérant qu'il résulte de l'instruction que Mme</w:t>
      </w:r>
      <w:r w:rsidR="009E1EAF">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w:t>
      </w:r>
      <w:proofErr w:type="spellStart"/>
      <w:r w:rsidRPr="009E1EAF">
        <w:rPr>
          <w:sz w:val="22"/>
        </w:rPr>
        <w:t>HervéE</w:t>
      </w:r>
      <w:proofErr w:type="spellEnd"/>
      <w:r w:rsidRPr="009E1EAF">
        <w:rPr>
          <w:sz w:val="22"/>
        </w:rPr>
        <w:t xml:space="preserve">... " et " 2nd tour Je vote Hervé E..." et, pour le reste, du spot de campagne de </w:t>
      </w:r>
      <w:r w:rsidRPr="009E1EAF">
        <w:rPr>
          <w:sz w:val="22"/>
        </w:rPr>
        <w:lastRenderedPageBreak/>
        <w:t xml:space="preserve">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411938" w:rsidRDefault="00411938" w:rsidP="00DD042F">
      <w:pPr>
        <w:ind w:firstLine="426"/>
        <w:jc w:val="both"/>
        <w:rPr>
          <w:sz w:val="22"/>
        </w:rPr>
      </w:pPr>
    </w:p>
    <w:p w:rsidR="00411938" w:rsidRDefault="00411938" w:rsidP="00DD042F">
      <w:pPr>
        <w:ind w:firstLine="426"/>
        <w:jc w:val="both"/>
        <w:rPr>
          <w:sz w:val="22"/>
        </w:rPr>
      </w:pPr>
    </w:p>
    <w:p w:rsidR="00411938" w:rsidRDefault="00411938" w:rsidP="00DD042F">
      <w:pPr>
        <w:ind w:firstLine="426"/>
        <w:jc w:val="both"/>
      </w:pPr>
      <w:r>
        <w:t>CE 11 mai 2015, n°</w:t>
      </w:r>
      <w:r>
        <w:rPr>
          <w:rStyle w:val="lev"/>
        </w:rPr>
        <w:t xml:space="preserve">386018    </w:t>
      </w:r>
      <w:r>
        <w:t>Elections municipales</w:t>
      </w:r>
      <w:r>
        <w:t xml:space="preserve"> de Clichy (Hauts-de Seine)</w:t>
      </w:r>
    </w:p>
    <w:p w:rsidR="00411938" w:rsidRDefault="00411938" w:rsidP="00DD042F">
      <w:pPr>
        <w:ind w:firstLine="426"/>
        <w:jc w:val="both"/>
      </w:pPr>
    </w:p>
    <w:p w:rsidR="00411938" w:rsidRPr="009E1EAF" w:rsidRDefault="00411938" w:rsidP="00DD042F">
      <w:pPr>
        <w:ind w:firstLine="426"/>
        <w:jc w:val="both"/>
        <w:rPr>
          <w:sz w:val="18"/>
        </w:rPr>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r>
        <w:br/>
      </w: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sectPr w:rsidR="00411938" w:rsidRPr="009E1EAF" w:rsidSect="00EA5ADF">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2"/>
    <w:multiLevelType w:val="hybridMultilevel"/>
    <w:tmpl w:val="373438CC"/>
    <w:lvl w:ilvl="0" w:tplc="D5801D7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F"/>
    <w:rsid w:val="00175D9F"/>
    <w:rsid w:val="00343840"/>
    <w:rsid w:val="00411938"/>
    <w:rsid w:val="00503619"/>
    <w:rsid w:val="007127EA"/>
    <w:rsid w:val="009E1EAF"/>
    <w:rsid w:val="00DD042F"/>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oral.fr" TargetMode="External"/><Relationship Id="rId13"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18"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26"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3" Type="http://schemas.microsoft.com/office/2007/relationships/stylesWithEffects" Target="stylesWithEffects.xml"/><Relationship Id="rId21"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34"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7" Type="http://schemas.openxmlformats.org/officeDocument/2006/relationships/hyperlink" Target="mailto:stephane.cottin@gmail.com" TargetMode="External"/><Relationship Id="rId12" Type="http://schemas.openxmlformats.org/officeDocument/2006/relationships/image" Target="media/image3.gif"/><Relationship Id="rId17"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25" Type="http://schemas.openxmlformats.org/officeDocument/2006/relationships/image" Target="media/image4.gif"/><Relationship Id="rId33" Type="http://schemas.openxmlformats.org/officeDocument/2006/relationships/hyperlink" Target="http://www.dalloz.fr/documentation/Document?id=LEBON/JURIS/2015/0612&amp;ctxt=0_dCRzMD1GOUE2NTNBMMKnZCRuVGV4dGUyPTZCMTIxRkNCL0RDQkFGRUUxwqdkJGFSZXZ1ZT0yMDE1wqdkJHBSZXZ1ZT0xODQ2&amp;FromId=AJDA_CHRON_2015_1514" TargetMode="External"/><Relationship Id="rId2" Type="http://schemas.openxmlformats.org/officeDocument/2006/relationships/styles" Target="styles.xml"/><Relationship Id="rId16"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0"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29"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24"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32"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5" Type="http://schemas.openxmlformats.org/officeDocument/2006/relationships/webSettings" Target="webSettings.xml"/><Relationship Id="rId15"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23"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28"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31"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4" Type="http://schemas.openxmlformats.org/officeDocument/2006/relationships/settings" Target="settings.xml"/><Relationship Id="rId9"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4"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22"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27"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30"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D83C595C</Template>
  <TotalTime>56</TotalTime>
  <Pages>4</Pages>
  <Words>3117</Words>
  <Characters>17145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1</cp:revision>
  <dcterms:created xsi:type="dcterms:W3CDTF">2016-11-07T08:28:00Z</dcterms:created>
  <dcterms:modified xsi:type="dcterms:W3CDTF">2016-11-07T09:25:00Z</dcterms:modified>
</cp:coreProperties>
</file>