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AE9" w:rsidRDefault="002E5DA9" w:rsidP="002E5DA9">
      <w:pPr>
        <w:pBdr>
          <w:bottom w:val="single" w:sz="4" w:space="1" w:color="auto"/>
        </w:pBdr>
        <w:shd w:val="clear" w:color="auto" w:fill="FFFFFF"/>
        <w:spacing w:before="120" w:after="120" w:line="300" w:lineRule="atLeast"/>
        <w:rPr>
          <w:rFonts w:ascii="Arial" w:eastAsia="Times New Roman" w:hAnsi="Arial" w:cs="Arial"/>
          <w:color w:val="424242"/>
          <w:sz w:val="19"/>
          <w:szCs w:val="19"/>
          <w:lang w:eastAsia="fr-FR"/>
        </w:rPr>
      </w:pPr>
      <w:bookmarkStart w:id="0" w:name="_GoBack"/>
      <w:bookmarkEnd w:id="0"/>
      <w:r>
        <w:rPr>
          <w:rFonts w:ascii="Arial" w:eastAsia="Times New Roman" w:hAnsi="Arial" w:cs="Arial"/>
          <w:color w:val="424242"/>
          <w:sz w:val="19"/>
          <w:szCs w:val="19"/>
          <w:lang w:eastAsia="fr-FR"/>
        </w:rPr>
        <w:t>Myriam DANA</w:t>
      </w:r>
      <w:r w:rsidR="00A2638B">
        <w:rPr>
          <w:rFonts w:ascii="Arial" w:eastAsia="Times New Roman" w:hAnsi="Arial" w:cs="Arial"/>
          <w:color w:val="424242"/>
          <w:sz w:val="19"/>
          <w:szCs w:val="19"/>
          <w:lang w:eastAsia="fr-FR"/>
        </w:rPr>
        <w:tab/>
      </w:r>
      <w:r w:rsidR="00A2638B">
        <w:rPr>
          <w:rFonts w:ascii="Arial" w:eastAsia="Times New Roman" w:hAnsi="Arial" w:cs="Arial"/>
          <w:color w:val="424242"/>
          <w:sz w:val="19"/>
          <w:szCs w:val="19"/>
          <w:lang w:eastAsia="fr-FR"/>
        </w:rPr>
        <w:tab/>
      </w:r>
      <w:r w:rsidR="00A2638B">
        <w:rPr>
          <w:rFonts w:ascii="Arial" w:eastAsia="Times New Roman" w:hAnsi="Arial" w:cs="Arial"/>
          <w:color w:val="424242"/>
          <w:sz w:val="19"/>
          <w:szCs w:val="19"/>
          <w:lang w:eastAsia="fr-FR"/>
        </w:rPr>
        <w:tab/>
      </w:r>
      <w:r w:rsidR="00A2638B">
        <w:rPr>
          <w:rFonts w:ascii="Arial" w:eastAsia="Times New Roman" w:hAnsi="Arial" w:cs="Arial"/>
          <w:color w:val="424242"/>
          <w:sz w:val="19"/>
          <w:szCs w:val="19"/>
          <w:lang w:eastAsia="fr-FR"/>
        </w:rPr>
        <w:tab/>
      </w:r>
      <w:r w:rsidR="00A2638B">
        <w:rPr>
          <w:rFonts w:ascii="Arial" w:eastAsia="Times New Roman" w:hAnsi="Arial" w:cs="Arial"/>
          <w:color w:val="424242"/>
          <w:sz w:val="19"/>
          <w:szCs w:val="19"/>
          <w:lang w:eastAsia="fr-FR"/>
        </w:rPr>
        <w:tab/>
      </w:r>
      <w:r w:rsidR="00A2638B">
        <w:rPr>
          <w:rFonts w:ascii="Arial" w:eastAsia="Times New Roman" w:hAnsi="Arial" w:cs="Arial"/>
          <w:color w:val="424242"/>
          <w:sz w:val="19"/>
          <w:szCs w:val="19"/>
          <w:lang w:eastAsia="fr-FR"/>
        </w:rPr>
        <w:tab/>
      </w:r>
      <w:r w:rsidR="00A2638B">
        <w:rPr>
          <w:rFonts w:ascii="Arial" w:eastAsia="Times New Roman" w:hAnsi="Arial" w:cs="Arial"/>
          <w:color w:val="424242"/>
          <w:sz w:val="19"/>
          <w:szCs w:val="19"/>
          <w:lang w:eastAsia="fr-FR"/>
        </w:rPr>
        <w:tab/>
      </w:r>
      <w:r w:rsidR="00A2638B">
        <w:rPr>
          <w:rFonts w:ascii="Arial" w:eastAsia="Times New Roman" w:hAnsi="Arial" w:cs="Arial"/>
          <w:color w:val="424242"/>
          <w:sz w:val="19"/>
          <w:szCs w:val="19"/>
          <w:lang w:eastAsia="fr-FR"/>
        </w:rPr>
        <w:tab/>
      </w:r>
      <w:r w:rsidR="00A2638B">
        <w:rPr>
          <w:rFonts w:ascii="Arial" w:eastAsia="Times New Roman" w:hAnsi="Arial" w:cs="Arial"/>
          <w:color w:val="424242"/>
          <w:sz w:val="19"/>
          <w:szCs w:val="19"/>
          <w:lang w:eastAsia="fr-FR"/>
        </w:rPr>
        <w:tab/>
      </w:r>
      <w:r w:rsidR="00A2638B">
        <w:rPr>
          <w:rFonts w:ascii="Arial" w:eastAsia="Times New Roman" w:hAnsi="Arial" w:cs="Arial"/>
          <w:color w:val="424242"/>
          <w:sz w:val="19"/>
          <w:szCs w:val="19"/>
          <w:lang w:eastAsia="fr-FR"/>
        </w:rPr>
        <w:tab/>
        <w:t>13/11/</w:t>
      </w:r>
      <w:r w:rsidR="00092AE9">
        <w:rPr>
          <w:rFonts w:ascii="Arial" w:eastAsia="Times New Roman" w:hAnsi="Arial" w:cs="Arial"/>
          <w:color w:val="424242"/>
          <w:sz w:val="19"/>
          <w:szCs w:val="19"/>
          <w:lang w:eastAsia="fr-FR"/>
        </w:rPr>
        <w:t>2017</w:t>
      </w:r>
    </w:p>
    <w:p w:rsidR="00092AE9" w:rsidRDefault="009D0B61" w:rsidP="002E5DA9">
      <w:pPr>
        <w:pBdr>
          <w:bottom w:val="single" w:sz="4" w:space="1" w:color="auto"/>
        </w:pBdr>
        <w:shd w:val="clear" w:color="auto" w:fill="FFFFFF"/>
        <w:spacing w:before="120" w:after="120" w:line="300" w:lineRule="atLeast"/>
        <w:rPr>
          <w:rFonts w:ascii="Arial" w:eastAsia="Times New Roman" w:hAnsi="Arial" w:cs="Arial"/>
          <w:color w:val="424242"/>
          <w:sz w:val="19"/>
          <w:szCs w:val="19"/>
          <w:lang w:eastAsia="fr-FR"/>
        </w:rPr>
      </w:pPr>
      <w:hyperlink r:id="rId6" w:history="1">
        <w:r w:rsidR="00092AE9" w:rsidRPr="00215EE2">
          <w:rPr>
            <w:rStyle w:val="Lienhypertexte"/>
            <w:rFonts w:ascii="Arial" w:eastAsia="Times New Roman" w:hAnsi="Arial" w:cs="Arial"/>
            <w:sz w:val="19"/>
            <w:szCs w:val="19"/>
            <w:lang w:eastAsia="fr-FR"/>
          </w:rPr>
          <w:t>myriam.dana@gmail.com</w:t>
        </w:r>
      </w:hyperlink>
    </w:p>
    <w:p w:rsidR="002E5DA9" w:rsidRPr="002E5DA9" w:rsidRDefault="00092AE9" w:rsidP="002E5DA9">
      <w:pPr>
        <w:pBdr>
          <w:bottom w:val="single" w:sz="4" w:space="1" w:color="auto"/>
        </w:pBdr>
        <w:shd w:val="clear" w:color="auto" w:fill="FFFFFF"/>
        <w:spacing w:before="120" w:after="120" w:line="300" w:lineRule="atLeast"/>
        <w:rPr>
          <w:rFonts w:ascii="Arial" w:eastAsia="Times New Roman" w:hAnsi="Arial" w:cs="Arial"/>
          <w:color w:val="424242"/>
          <w:sz w:val="19"/>
          <w:szCs w:val="19"/>
          <w:lang w:eastAsia="fr-FR"/>
        </w:rPr>
      </w:pPr>
      <w:r>
        <w:rPr>
          <w:rFonts w:ascii="Arial" w:eastAsia="Times New Roman" w:hAnsi="Arial" w:cs="Arial"/>
          <w:color w:val="424242"/>
          <w:sz w:val="19"/>
          <w:szCs w:val="19"/>
          <w:lang w:eastAsia="fr-FR"/>
        </w:rPr>
        <w:t>Master 2 – Affaires Publiques – Administration du Politique</w:t>
      </w:r>
      <w:r w:rsidR="002E5DA9">
        <w:rPr>
          <w:rFonts w:ascii="Arial" w:eastAsia="Times New Roman" w:hAnsi="Arial" w:cs="Arial"/>
          <w:color w:val="424242"/>
          <w:sz w:val="19"/>
          <w:szCs w:val="19"/>
          <w:lang w:eastAsia="fr-FR"/>
        </w:rPr>
        <w:tab/>
      </w:r>
      <w:r w:rsidR="002E5DA9">
        <w:rPr>
          <w:rFonts w:ascii="Arial" w:eastAsia="Times New Roman" w:hAnsi="Arial" w:cs="Arial"/>
          <w:color w:val="424242"/>
          <w:sz w:val="19"/>
          <w:szCs w:val="19"/>
          <w:lang w:eastAsia="fr-FR"/>
        </w:rPr>
        <w:tab/>
      </w:r>
      <w:r w:rsidR="002E5DA9">
        <w:rPr>
          <w:rFonts w:ascii="Arial" w:eastAsia="Times New Roman" w:hAnsi="Arial" w:cs="Arial"/>
          <w:color w:val="424242"/>
          <w:sz w:val="19"/>
          <w:szCs w:val="19"/>
          <w:lang w:eastAsia="fr-FR"/>
        </w:rPr>
        <w:tab/>
      </w:r>
      <w:r w:rsidR="002E5DA9">
        <w:rPr>
          <w:rFonts w:ascii="Arial" w:eastAsia="Times New Roman" w:hAnsi="Arial" w:cs="Arial"/>
          <w:color w:val="424242"/>
          <w:sz w:val="19"/>
          <w:szCs w:val="19"/>
          <w:lang w:eastAsia="fr-FR"/>
        </w:rPr>
        <w:tab/>
      </w:r>
      <w:r w:rsidR="002E5DA9">
        <w:rPr>
          <w:rFonts w:ascii="Arial" w:eastAsia="Times New Roman" w:hAnsi="Arial" w:cs="Arial"/>
          <w:color w:val="424242"/>
          <w:sz w:val="19"/>
          <w:szCs w:val="19"/>
          <w:lang w:eastAsia="fr-FR"/>
        </w:rPr>
        <w:tab/>
      </w:r>
      <w:r w:rsidR="002E5DA9">
        <w:rPr>
          <w:rFonts w:ascii="Arial" w:eastAsia="Times New Roman" w:hAnsi="Arial" w:cs="Arial"/>
          <w:color w:val="424242"/>
          <w:sz w:val="19"/>
          <w:szCs w:val="19"/>
          <w:lang w:eastAsia="fr-FR"/>
        </w:rPr>
        <w:tab/>
      </w:r>
      <w:r w:rsidR="002E5DA9">
        <w:rPr>
          <w:rFonts w:ascii="Arial" w:eastAsia="Times New Roman" w:hAnsi="Arial" w:cs="Arial"/>
          <w:color w:val="424242"/>
          <w:sz w:val="19"/>
          <w:szCs w:val="19"/>
          <w:lang w:eastAsia="fr-FR"/>
        </w:rPr>
        <w:tab/>
      </w:r>
      <w:r w:rsidR="002E5DA9">
        <w:rPr>
          <w:rFonts w:ascii="Arial" w:eastAsia="Times New Roman" w:hAnsi="Arial" w:cs="Arial"/>
          <w:color w:val="424242"/>
          <w:sz w:val="19"/>
          <w:szCs w:val="19"/>
          <w:lang w:eastAsia="fr-FR"/>
        </w:rPr>
        <w:tab/>
      </w:r>
      <w:r w:rsidR="002E5DA9">
        <w:rPr>
          <w:rFonts w:ascii="Arial" w:eastAsia="Times New Roman" w:hAnsi="Arial" w:cs="Arial"/>
          <w:color w:val="424242"/>
          <w:sz w:val="19"/>
          <w:szCs w:val="19"/>
          <w:lang w:eastAsia="fr-FR"/>
        </w:rPr>
        <w:tab/>
      </w:r>
    </w:p>
    <w:p w:rsidR="002E5DA9" w:rsidRDefault="002E5DA9" w:rsidP="002E5DA9">
      <w:pPr>
        <w:pBdr>
          <w:bottom w:val="single" w:sz="4" w:space="1" w:color="auto"/>
        </w:pBdr>
        <w:shd w:val="clear" w:color="auto" w:fill="FFFFFF"/>
        <w:spacing w:before="120" w:after="120" w:line="300" w:lineRule="atLeast"/>
        <w:jc w:val="center"/>
        <w:rPr>
          <w:rFonts w:ascii="Arial" w:eastAsia="Times New Roman" w:hAnsi="Arial" w:cs="Arial"/>
          <w:color w:val="424242"/>
          <w:sz w:val="28"/>
          <w:szCs w:val="28"/>
          <w:lang w:eastAsia="fr-FR"/>
        </w:rPr>
      </w:pPr>
    </w:p>
    <w:p w:rsidR="002E5DA9" w:rsidRDefault="002E5DA9" w:rsidP="002E5DA9">
      <w:pPr>
        <w:pBdr>
          <w:bottom w:val="single" w:sz="4" w:space="1" w:color="auto"/>
        </w:pBdr>
        <w:shd w:val="clear" w:color="auto" w:fill="FFFFFF"/>
        <w:spacing w:before="120" w:after="120" w:line="300" w:lineRule="atLeast"/>
        <w:jc w:val="center"/>
        <w:rPr>
          <w:rFonts w:ascii="Arial" w:eastAsia="Times New Roman" w:hAnsi="Arial" w:cs="Arial"/>
          <w:color w:val="424242"/>
          <w:sz w:val="28"/>
          <w:szCs w:val="28"/>
          <w:lang w:eastAsia="fr-FR"/>
        </w:rPr>
      </w:pPr>
    </w:p>
    <w:p w:rsidR="008B1DD0" w:rsidRPr="00092AE9" w:rsidRDefault="002E5DA9" w:rsidP="002E5DA9">
      <w:pPr>
        <w:pBdr>
          <w:bottom w:val="single" w:sz="4" w:space="1" w:color="auto"/>
        </w:pBdr>
        <w:shd w:val="clear" w:color="auto" w:fill="FFFFFF"/>
        <w:spacing w:before="120" w:after="120" w:line="300" w:lineRule="atLeast"/>
        <w:jc w:val="center"/>
        <w:rPr>
          <w:rFonts w:ascii="Arial" w:eastAsia="Times New Roman" w:hAnsi="Arial" w:cs="Arial"/>
          <w:b/>
          <w:color w:val="1F497D" w:themeColor="text2"/>
          <w:sz w:val="28"/>
          <w:szCs w:val="28"/>
          <w:lang w:eastAsia="fr-FR"/>
        </w:rPr>
      </w:pPr>
      <w:r w:rsidRPr="00092AE9">
        <w:rPr>
          <w:rFonts w:ascii="Arial" w:eastAsia="Times New Roman" w:hAnsi="Arial" w:cs="Arial"/>
          <w:b/>
          <w:color w:val="1F497D" w:themeColor="text2"/>
          <w:sz w:val="28"/>
          <w:szCs w:val="28"/>
          <w:lang w:eastAsia="fr-FR"/>
        </w:rPr>
        <w:t>VOTE ET HANDICAP</w:t>
      </w:r>
    </w:p>
    <w:p w:rsidR="002E5DA9" w:rsidRDefault="002E5DA9" w:rsidP="00897E4B">
      <w:pPr>
        <w:shd w:val="clear" w:color="auto" w:fill="FFFFFF"/>
        <w:spacing w:before="120" w:after="120" w:line="300" w:lineRule="atLeast"/>
        <w:jc w:val="both"/>
        <w:rPr>
          <w:rFonts w:ascii="Arial" w:eastAsia="Times New Roman" w:hAnsi="Arial" w:cs="Arial"/>
          <w:color w:val="424242"/>
          <w:sz w:val="19"/>
          <w:szCs w:val="19"/>
          <w:lang w:eastAsia="fr-FR"/>
        </w:rPr>
      </w:pPr>
    </w:p>
    <w:p w:rsidR="00526238" w:rsidRDefault="00D40926" w:rsidP="00897E4B">
      <w:pPr>
        <w:shd w:val="clear" w:color="auto" w:fill="FFFFFF"/>
        <w:spacing w:before="120" w:after="120" w:line="300" w:lineRule="atLeast"/>
        <w:jc w:val="both"/>
        <w:rPr>
          <w:rFonts w:ascii="Arial" w:eastAsia="Times New Roman" w:hAnsi="Arial" w:cs="Arial"/>
          <w:color w:val="424242"/>
          <w:sz w:val="19"/>
          <w:szCs w:val="19"/>
          <w:lang w:eastAsia="fr-FR"/>
        </w:rPr>
      </w:pPr>
      <w:r>
        <w:rPr>
          <w:rFonts w:ascii="Arial" w:eastAsia="Times New Roman" w:hAnsi="Arial" w:cs="Arial"/>
          <w:color w:val="424242"/>
          <w:sz w:val="19"/>
          <w:szCs w:val="19"/>
          <w:lang w:eastAsia="fr-FR"/>
        </w:rPr>
        <w:t>L</w:t>
      </w:r>
      <w:r w:rsidR="00526238">
        <w:rPr>
          <w:rFonts w:ascii="Arial" w:eastAsia="Times New Roman" w:hAnsi="Arial" w:cs="Arial"/>
          <w:color w:val="424242"/>
          <w:sz w:val="19"/>
          <w:szCs w:val="19"/>
          <w:lang w:eastAsia="fr-FR"/>
        </w:rPr>
        <w:t xml:space="preserve">es personnes handicapées sont inscrites sur les listes électorales et jouissent d’un droit de vote, comme les autres citoyens. </w:t>
      </w:r>
    </w:p>
    <w:p w:rsidR="00E24C7A" w:rsidRDefault="00E24C7A" w:rsidP="00897E4B">
      <w:pPr>
        <w:shd w:val="clear" w:color="auto" w:fill="FFFFFF"/>
        <w:spacing w:before="120" w:after="120" w:line="300" w:lineRule="atLeast"/>
        <w:jc w:val="both"/>
        <w:rPr>
          <w:rFonts w:ascii="Arial" w:eastAsia="Times New Roman" w:hAnsi="Arial" w:cs="Arial"/>
          <w:color w:val="424242"/>
          <w:sz w:val="19"/>
          <w:szCs w:val="19"/>
          <w:lang w:eastAsia="fr-FR"/>
        </w:rPr>
      </w:pPr>
      <w:r>
        <w:rPr>
          <w:rFonts w:ascii="Arial" w:eastAsia="Times New Roman" w:hAnsi="Arial" w:cs="Arial"/>
          <w:color w:val="424242"/>
          <w:sz w:val="19"/>
          <w:szCs w:val="19"/>
          <w:lang w:eastAsia="fr-FR"/>
        </w:rPr>
        <w:t xml:space="preserve">Ce droit est encadré par la Convention des Nations unies relatives </w:t>
      </w:r>
      <w:r w:rsidR="00ED1F7D">
        <w:rPr>
          <w:rFonts w:ascii="Arial" w:eastAsia="Times New Roman" w:hAnsi="Arial" w:cs="Arial"/>
          <w:color w:val="424242"/>
          <w:sz w:val="19"/>
          <w:szCs w:val="19"/>
          <w:lang w:eastAsia="fr-FR"/>
        </w:rPr>
        <w:t>aux droits des personnes handicapées, que la France a ratifiée le 18 février 2010.</w:t>
      </w:r>
    </w:p>
    <w:p w:rsidR="00526238" w:rsidRDefault="00526238" w:rsidP="00897E4B">
      <w:pPr>
        <w:shd w:val="clear" w:color="auto" w:fill="FFFFFF"/>
        <w:spacing w:before="120" w:after="120" w:line="300" w:lineRule="atLeast"/>
        <w:jc w:val="both"/>
        <w:rPr>
          <w:rFonts w:ascii="Arial" w:eastAsia="Times New Roman" w:hAnsi="Arial" w:cs="Arial"/>
          <w:i/>
          <w:color w:val="424242"/>
          <w:sz w:val="19"/>
          <w:szCs w:val="19"/>
          <w:lang w:eastAsia="fr-FR"/>
        </w:rPr>
      </w:pPr>
      <w:r>
        <w:rPr>
          <w:rFonts w:ascii="Arial" w:eastAsia="Times New Roman" w:hAnsi="Arial" w:cs="Arial"/>
          <w:color w:val="424242"/>
          <w:sz w:val="19"/>
          <w:szCs w:val="19"/>
          <w:lang w:eastAsia="fr-FR"/>
        </w:rPr>
        <w:t xml:space="preserve">La loi du 11 février 2005 pour l’égalité des droits et des chances, la participation et la citoyenneté des personnes handicapées </w:t>
      </w:r>
      <w:r w:rsidR="00E24C7A">
        <w:rPr>
          <w:rFonts w:ascii="Arial" w:eastAsia="Times New Roman" w:hAnsi="Arial" w:cs="Arial"/>
          <w:color w:val="424242"/>
          <w:sz w:val="19"/>
          <w:szCs w:val="19"/>
          <w:lang w:eastAsia="fr-FR"/>
        </w:rPr>
        <w:t>est venu</w:t>
      </w:r>
      <w:r w:rsidR="00F03A55">
        <w:rPr>
          <w:rFonts w:ascii="Arial" w:eastAsia="Times New Roman" w:hAnsi="Arial" w:cs="Arial"/>
          <w:color w:val="424242"/>
          <w:sz w:val="19"/>
          <w:szCs w:val="19"/>
          <w:lang w:eastAsia="fr-FR"/>
        </w:rPr>
        <w:t>e</w:t>
      </w:r>
      <w:r w:rsidR="00E24C7A">
        <w:rPr>
          <w:rFonts w:ascii="Arial" w:eastAsia="Times New Roman" w:hAnsi="Arial" w:cs="Arial"/>
          <w:color w:val="424242"/>
          <w:sz w:val="19"/>
          <w:szCs w:val="19"/>
          <w:lang w:eastAsia="fr-FR"/>
        </w:rPr>
        <w:t xml:space="preserve"> modifier l’article L.114 du Code de l’</w:t>
      </w:r>
      <w:r w:rsidR="00ED1F7D">
        <w:rPr>
          <w:rFonts w:ascii="Arial" w:eastAsia="Times New Roman" w:hAnsi="Arial" w:cs="Arial"/>
          <w:color w:val="424242"/>
          <w:sz w:val="19"/>
          <w:szCs w:val="19"/>
          <w:lang w:eastAsia="fr-FR"/>
        </w:rPr>
        <w:t>action sociale et des familles</w:t>
      </w:r>
      <w:r w:rsidR="00E24C7A">
        <w:rPr>
          <w:rFonts w:ascii="Arial" w:eastAsia="Times New Roman" w:hAnsi="Arial" w:cs="Arial"/>
          <w:color w:val="424242"/>
          <w:sz w:val="19"/>
          <w:szCs w:val="19"/>
          <w:lang w:eastAsia="fr-FR"/>
        </w:rPr>
        <w:t xml:space="preserve">, qui dispose </w:t>
      </w:r>
      <w:r w:rsidR="00486271">
        <w:rPr>
          <w:rFonts w:ascii="Arial" w:eastAsia="Times New Roman" w:hAnsi="Arial" w:cs="Arial"/>
          <w:color w:val="424242"/>
          <w:sz w:val="19"/>
          <w:szCs w:val="19"/>
          <w:lang w:eastAsia="fr-FR"/>
        </w:rPr>
        <w:t xml:space="preserve">que la solidarité de la collectivité nationale consiste à garantir </w:t>
      </w:r>
      <w:r w:rsidR="00486271" w:rsidRPr="00486271">
        <w:rPr>
          <w:rFonts w:ascii="Arial" w:eastAsia="Times New Roman" w:hAnsi="Arial" w:cs="Arial"/>
          <w:i/>
          <w:color w:val="424242"/>
          <w:sz w:val="19"/>
          <w:szCs w:val="19"/>
          <w:lang w:eastAsia="fr-FR"/>
        </w:rPr>
        <w:t>« l’accès aux droits fondamentaux reconnus à tous les citoyens ainsi que le plein exercice de sa citoyenneté »</w:t>
      </w:r>
      <w:r w:rsidR="00486271">
        <w:rPr>
          <w:rFonts w:ascii="Arial" w:eastAsia="Times New Roman" w:hAnsi="Arial" w:cs="Arial"/>
          <w:i/>
          <w:color w:val="424242"/>
          <w:sz w:val="19"/>
          <w:szCs w:val="19"/>
          <w:lang w:eastAsia="fr-FR"/>
        </w:rPr>
        <w:t>.</w:t>
      </w:r>
    </w:p>
    <w:p w:rsidR="00486271" w:rsidRDefault="00486271" w:rsidP="00897E4B">
      <w:pPr>
        <w:shd w:val="clear" w:color="auto" w:fill="FFFFFF"/>
        <w:spacing w:before="120" w:after="120" w:line="300" w:lineRule="atLeast"/>
        <w:jc w:val="both"/>
        <w:rPr>
          <w:rFonts w:ascii="Arial" w:eastAsia="Times New Roman" w:hAnsi="Arial" w:cs="Arial"/>
          <w:color w:val="424242"/>
          <w:sz w:val="19"/>
          <w:szCs w:val="19"/>
          <w:lang w:eastAsia="fr-FR"/>
        </w:rPr>
      </w:pPr>
      <w:r>
        <w:rPr>
          <w:rFonts w:ascii="Arial" w:eastAsia="Times New Roman" w:hAnsi="Arial" w:cs="Arial"/>
          <w:color w:val="424242"/>
          <w:sz w:val="19"/>
          <w:szCs w:val="19"/>
          <w:lang w:eastAsia="fr-FR"/>
        </w:rPr>
        <w:t xml:space="preserve">La loi du 5 mars 2007 portant réforme </w:t>
      </w:r>
      <w:r w:rsidR="000E74C0">
        <w:rPr>
          <w:rFonts w:ascii="Arial" w:eastAsia="Times New Roman" w:hAnsi="Arial" w:cs="Arial"/>
          <w:color w:val="424242"/>
          <w:sz w:val="19"/>
          <w:szCs w:val="19"/>
          <w:lang w:eastAsia="fr-FR"/>
        </w:rPr>
        <w:t>de la protection juridique des majeurs est venu</w:t>
      </w:r>
      <w:r w:rsidR="007D241D">
        <w:rPr>
          <w:rFonts w:ascii="Arial" w:eastAsia="Times New Roman" w:hAnsi="Arial" w:cs="Arial"/>
          <w:color w:val="424242"/>
          <w:sz w:val="19"/>
          <w:szCs w:val="19"/>
          <w:lang w:eastAsia="fr-FR"/>
        </w:rPr>
        <w:t>e</w:t>
      </w:r>
      <w:r w:rsidR="000E74C0">
        <w:rPr>
          <w:rFonts w:ascii="Arial" w:eastAsia="Times New Roman" w:hAnsi="Arial" w:cs="Arial"/>
          <w:color w:val="424242"/>
          <w:sz w:val="19"/>
          <w:szCs w:val="19"/>
          <w:lang w:eastAsia="fr-FR"/>
        </w:rPr>
        <w:t xml:space="preserve"> modifier l’article L5 du code électoral. Alors qu’auparavant, le droit de vote était retiré automatiquement dans le cadre d’une mise sous tutelle, </w:t>
      </w:r>
      <w:r w:rsidR="007D241D">
        <w:rPr>
          <w:rFonts w:ascii="Arial" w:eastAsia="Times New Roman" w:hAnsi="Arial" w:cs="Arial"/>
          <w:color w:val="424242"/>
          <w:sz w:val="19"/>
          <w:szCs w:val="19"/>
          <w:lang w:eastAsia="fr-FR"/>
        </w:rPr>
        <w:t xml:space="preserve">il </w:t>
      </w:r>
      <w:r w:rsidR="000E74C0">
        <w:rPr>
          <w:rFonts w:ascii="Arial" w:eastAsia="Times New Roman" w:hAnsi="Arial" w:cs="Arial"/>
          <w:color w:val="424242"/>
          <w:sz w:val="19"/>
          <w:szCs w:val="19"/>
          <w:lang w:eastAsia="fr-FR"/>
        </w:rPr>
        <w:t>ne peut être désormais retiré que sur décision expresse du juge.</w:t>
      </w:r>
    </w:p>
    <w:p w:rsidR="000E74C0" w:rsidRDefault="000E74C0" w:rsidP="00897E4B">
      <w:pPr>
        <w:shd w:val="clear" w:color="auto" w:fill="FFFFFF"/>
        <w:spacing w:before="120" w:after="120" w:line="300" w:lineRule="atLeast"/>
        <w:jc w:val="both"/>
        <w:rPr>
          <w:rFonts w:ascii="Arial" w:eastAsia="Times New Roman" w:hAnsi="Arial" w:cs="Arial"/>
          <w:color w:val="424242"/>
          <w:sz w:val="19"/>
          <w:szCs w:val="19"/>
          <w:lang w:eastAsia="fr-FR"/>
        </w:rPr>
      </w:pPr>
      <w:r>
        <w:rPr>
          <w:rFonts w:ascii="Arial" w:eastAsia="Times New Roman" w:hAnsi="Arial" w:cs="Arial"/>
          <w:color w:val="424242"/>
          <w:sz w:val="19"/>
          <w:szCs w:val="19"/>
          <w:lang w:eastAsia="fr-FR"/>
        </w:rPr>
        <w:t>L’administration tient également au cœur de ses préoccupations, celle de permettre aux personnes handicapées de voter dans les mêmes conditions que les autres électeurs. Et de nombreuses mesures ont été prises pour garantir l’exercice plein et entier du droit de vote par les personnes souffrant d’un handicap.</w:t>
      </w:r>
    </w:p>
    <w:p w:rsidR="00FF3113" w:rsidRDefault="007D241D" w:rsidP="00897E4B">
      <w:pPr>
        <w:shd w:val="clear" w:color="auto" w:fill="FFFFFF"/>
        <w:spacing w:before="120" w:after="120" w:line="300" w:lineRule="atLeast"/>
        <w:jc w:val="both"/>
        <w:rPr>
          <w:rFonts w:ascii="Arial" w:hAnsi="Arial" w:cs="Arial"/>
          <w:color w:val="4A4D56"/>
          <w:sz w:val="19"/>
          <w:szCs w:val="19"/>
          <w:shd w:val="clear" w:color="auto" w:fill="FFFFFF"/>
        </w:rPr>
      </w:pPr>
      <w:r>
        <w:rPr>
          <w:rFonts w:ascii="Arial" w:eastAsia="Times New Roman" w:hAnsi="Arial" w:cs="Arial"/>
          <w:color w:val="424242"/>
          <w:sz w:val="19"/>
          <w:szCs w:val="19"/>
          <w:lang w:eastAsia="fr-FR"/>
        </w:rPr>
        <w:t>Si des</w:t>
      </w:r>
      <w:r w:rsidR="00D40926">
        <w:rPr>
          <w:rFonts w:ascii="Arial" w:eastAsia="Times New Roman" w:hAnsi="Arial" w:cs="Arial"/>
          <w:color w:val="424242"/>
          <w:sz w:val="19"/>
          <w:szCs w:val="19"/>
          <w:lang w:eastAsia="fr-FR"/>
        </w:rPr>
        <w:t xml:space="preserve"> efforts</w:t>
      </w:r>
      <w:r>
        <w:rPr>
          <w:rFonts w:ascii="Arial" w:eastAsia="Times New Roman" w:hAnsi="Arial" w:cs="Arial"/>
          <w:color w:val="424242"/>
          <w:sz w:val="19"/>
          <w:szCs w:val="19"/>
          <w:lang w:eastAsia="fr-FR"/>
        </w:rPr>
        <w:t xml:space="preserve"> certains</w:t>
      </w:r>
      <w:r w:rsidR="00D40926">
        <w:rPr>
          <w:rFonts w:ascii="Arial" w:eastAsia="Times New Roman" w:hAnsi="Arial" w:cs="Arial"/>
          <w:color w:val="424242"/>
          <w:sz w:val="19"/>
          <w:szCs w:val="19"/>
          <w:lang w:eastAsia="fr-FR"/>
        </w:rPr>
        <w:t xml:space="preserve"> ont été accomplis en matière de participation politique des personnes handicapées, le dispositif existant comporte des faiblesses conduisant à la rupture de ce principe d’égalité pourtant recherché.</w:t>
      </w:r>
      <w:r w:rsidR="00120314">
        <w:rPr>
          <w:rFonts w:ascii="Arial" w:eastAsia="Times New Roman" w:hAnsi="Arial" w:cs="Arial"/>
          <w:color w:val="424242"/>
          <w:sz w:val="19"/>
          <w:szCs w:val="19"/>
          <w:lang w:eastAsia="fr-FR"/>
        </w:rPr>
        <w:t xml:space="preserve"> Ces faiblesses sont notamment pointées dans un avis adopté par la </w:t>
      </w:r>
      <w:r w:rsidR="00120314" w:rsidRPr="00120314">
        <w:rPr>
          <w:rFonts w:ascii="Arial" w:hAnsi="Arial" w:cs="Arial"/>
          <w:color w:val="4A4D56"/>
          <w:sz w:val="19"/>
          <w:szCs w:val="19"/>
          <w:shd w:val="clear" w:color="auto" w:fill="FFFFFF"/>
        </w:rPr>
        <w:t>Commission nationale consultative des dro</w:t>
      </w:r>
      <w:r w:rsidR="00120314">
        <w:rPr>
          <w:rFonts w:ascii="Arial" w:hAnsi="Arial" w:cs="Arial"/>
          <w:color w:val="4A4D56"/>
          <w:sz w:val="19"/>
          <w:szCs w:val="19"/>
          <w:shd w:val="clear" w:color="auto" w:fill="FFFFFF"/>
        </w:rPr>
        <w:t>its de l'homme (CNCDH)</w:t>
      </w:r>
      <w:r w:rsidR="00120314" w:rsidRPr="00120314">
        <w:rPr>
          <w:rFonts w:ascii="Arial" w:hAnsi="Arial" w:cs="Arial"/>
          <w:color w:val="4A4D56"/>
          <w:sz w:val="19"/>
          <w:szCs w:val="19"/>
          <w:shd w:val="clear" w:color="auto" w:fill="FFFFFF"/>
        </w:rPr>
        <w:t xml:space="preserve"> le 26 janvier 2017</w:t>
      </w:r>
      <w:r w:rsidR="00120314">
        <w:rPr>
          <w:rFonts w:ascii="Arial" w:hAnsi="Arial" w:cs="Arial"/>
          <w:color w:val="4A4D56"/>
          <w:sz w:val="19"/>
          <w:szCs w:val="19"/>
          <w:shd w:val="clear" w:color="auto" w:fill="FFFFFF"/>
        </w:rPr>
        <w:t>.</w:t>
      </w:r>
    </w:p>
    <w:p w:rsidR="00FF3113" w:rsidRDefault="00FF3113" w:rsidP="00897E4B">
      <w:pPr>
        <w:shd w:val="clear" w:color="auto" w:fill="FFFFFF"/>
        <w:spacing w:before="120" w:after="120" w:line="300" w:lineRule="atLeast"/>
        <w:jc w:val="both"/>
        <w:rPr>
          <w:rFonts w:ascii="Arial" w:hAnsi="Arial" w:cs="Arial"/>
          <w:color w:val="4A4D56"/>
          <w:sz w:val="19"/>
          <w:szCs w:val="19"/>
          <w:shd w:val="clear" w:color="auto" w:fill="FFFFFF"/>
        </w:rPr>
      </w:pPr>
      <w:r>
        <w:rPr>
          <w:rFonts w:ascii="Arial" w:hAnsi="Arial" w:cs="Arial"/>
          <w:color w:val="4A4D56"/>
          <w:sz w:val="19"/>
          <w:szCs w:val="19"/>
          <w:shd w:val="clear" w:color="auto" w:fill="FFFFFF"/>
        </w:rPr>
        <w:t>L’étude se limitera au droit de vote des électeurs souffrant d’un handicap en France.</w:t>
      </w:r>
      <w:r w:rsidR="007D241D">
        <w:rPr>
          <w:rFonts w:ascii="Arial" w:hAnsi="Arial" w:cs="Arial"/>
          <w:color w:val="4A4D56"/>
          <w:sz w:val="19"/>
          <w:szCs w:val="19"/>
          <w:shd w:val="clear" w:color="auto" w:fill="FFFFFF"/>
        </w:rPr>
        <w:t xml:space="preserve"> Elle ne traitera pas de la question du handicap des candidats.</w:t>
      </w:r>
    </w:p>
    <w:p w:rsidR="00983E3D" w:rsidRPr="00983E3D" w:rsidRDefault="00983E3D" w:rsidP="00897E4B">
      <w:pPr>
        <w:shd w:val="clear" w:color="auto" w:fill="FFFFFF"/>
        <w:spacing w:before="120" w:after="120" w:line="300" w:lineRule="atLeast"/>
        <w:jc w:val="both"/>
        <w:rPr>
          <w:rFonts w:ascii="Arial" w:hAnsi="Arial" w:cs="Arial"/>
          <w:color w:val="4A4D56"/>
          <w:sz w:val="19"/>
          <w:szCs w:val="19"/>
          <w:shd w:val="clear" w:color="auto" w:fill="FFFFFF"/>
        </w:rPr>
      </w:pPr>
      <w:r>
        <w:rPr>
          <w:rFonts w:ascii="Arial" w:hAnsi="Arial" w:cs="Arial"/>
          <w:color w:val="4A4D56"/>
          <w:sz w:val="19"/>
          <w:szCs w:val="19"/>
          <w:shd w:val="clear" w:color="auto" w:fill="FFFFFF"/>
        </w:rPr>
        <w:t>Nous verrons les améliorations apportées à l’accomplissement de leur</w:t>
      </w:r>
      <w:r w:rsidR="007D241D">
        <w:rPr>
          <w:rFonts w:ascii="Arial" w:hAnsi="Arial" w:cs="Arial"/>
          <w:color w:val="4A4D56"/>
          <w:sz w:val="19"/>
          <w:szCs w:val="19"/>
          <w:shd w:val="clear" w:color="auto" w:fill="FFFFFF"/>
        </w:rPr>
        <w:t>s droits civiques au travers de</w:t>
      </w:r>
      <w:r>
        <w:rPr>
          <w:rFonts w:ascii="Arial" w:hAnsi="Arial" w:cs="Arial"/>
          <w:color w:val="4A4D56"/>
          <w:sz w:val="19"/>
          <w:szCs w:val="19"/>
          <w:shd w:val="clear" w:color="auto" w:fill="FFFFFF"/>
        </w:rPr>
        <w:t xml:space="preserve"> l’acc</w:t>
      </w:r>
      <w:r w:rsidR="000A0BCD">
        <w:rPr>
          <w:rFonts w:ascii="Arial" w:hAnsi="Arial" w:cs="Arial"/>
          <w:color w:val="4A4D56"/>
          <w:sz w:val="19"/>
          <w:szCs w:val="19"/>
          <w:shd w:val="clear" w:color="auto" w:fill="FFFFFF"/>
        </w:rPr>
        <w:t>essibilité du bureau de vote (I</w:t>
      </w:r>
      <w:r>
        <w:rPr>
          <w:rFonts w:ascii="Arial" w:hAnsi="Arial" w:cs="Arial"/>
          <w:color w:val="4A4D56"/>
          <w:sz w:val="19"/>
          <w:szCs w:val="19"/>
          <w:shd w:val="clear" w:color="auto" w:fill="FFFFFF"/>
        </w:rPr>
        <w:t>) et de l’accessibilité aux opérations électorales</w:t>
      </w:r>
      <w:r w:rsidR="000A0BCD">
        <w:rPr>
          <w:rFonts w:ascii="Arial" w:hAnsi="Arial" w:cs="Arial"/>
          <w:color w:val="4A4D56"/>
          <w:sz w:val="19"/>
          <w:szCs w:val="19"/>
          <w:shd w:val="clear" w:color="auto" w:fill="FFFFFF"/>
        </w:rPr>
        <w:t xml:space="preserve"> (II)</w:t>
      </w:r>
      <w:r>
        <w:rPr>
          <w:rFonts w:ascii="Arial" w:hAnsi="Arial" w:cs="Arial"/>
          <w:color w:val="4A4D56"/>
          <w:sz w:val="19"/>
          <w:szCs w:val="19"/>
          <w:shd w:val="clear" w:color="auto" w:fill="FFFFFF"/>
        </w:rPr>
        <w:t>, avant de nous pencher sur l’épineuse question du droit de vote des personnes atteintes d’un handicap mental qui i</w:t>
      </w:r>
      <w:r w:rsidR="007D241D">
        <w:rPr>
          <w:rFonts w:ascii="Arial" w:hAnsi="Arial" w:cs="Arial"/>
          <w:color w:val="4A4D56"/>
          <w:sz w:val="19"/>
          <w:szCs w:val="19"/>
          <w:shd w:val="clear" w:color="auto" w:fill="FFFFFF"/>
        </w:rPr>
        <w:t>llustre les limites à la jouissance</w:t>
      </w:r>
      <w:r>
        <w:rPr>
          <w:rFonts w:ascii="Arial" w:hAnsi="Arial" w:cs="Arial"/>
          <w:color w:val="4A4D56"/>
          <w:sz w:val="19"/>
          <w:szCs w:val="19"/>
          <w:shd w:val="clear" w:color="auto" w:fill="FFFFFF"/>
        </w:rPr>
        <w:t xml:space="preserve"> de ce</w:t>
      </w:r>
      <w:r w:rsidR="007D241D">
        <w:rPr>
          <w:rFonts w:ascii="Arial" w:hAnsi="Arial" w:cs="Arial"/>
          <w:color w:val="4A4D56"/>
          <w:sz w:val="19"/>
          <w:szCs w:val="19"/>
          <w:shd w:val="clear" w:color="auto" w:fill="FFFFFF"/>
        </w:rPr>
        <w:t>s</w:t>
      </w:r>
      <w:r>
        <w:rPr>
          <w:rFonts w:ascii="Arial" w:hAnsi="Arial" w:cs="Arial"/>
          <w:color w:val="4A4D56"/>
          <w:sz w:val="19"/>
          <w:szCs w:val="19"/>
          <w:shd w:val="clear" w:color="auto" w:fill="FFFFFF"/>
        </w:rPr>
        <w:t xml:space="preserve"> droit</w:t>
      </w:r>
      <w:r w:rsidR="007D241D">
        <w:rPr>
          <w:rFonts w:ascii="Arial" w:hAnsi="Arial" w:cs="Arial"/>
          <w:color w:val="4A4D56"/>
          <w:sz w:val="19"/>
          <w:szCs w:val="19"/>
          <w:shd w:val="clear" w:color="auto" w:fill="FFFFFF"/>
        </w:rPr>
        <w:t>s</w:t>
      </w:r>
      <w:r>
        <w:rPr>
          <w:rFonts w:ascii="Arial" w:hAnsi="Arial" w:cs="Arial"/>
          <w:color w:val="4A4D56"/>
          <w:sz w:val="19"/>
          <w:szCs w:val="19"/>
          <w:shd w:val="clear" w:color="auto" w:fill="FFFFFF"/>
        </w:rPr>
        <w:t xml:space="preserve"> (III)</w:t>
      </w:r>
    </w:p>
    <w:p w:rsidR="00526238" w:rsidRPr="00092AE9" w:rsidRDefault="00526238" w:rsidP="00897E4B">
      <w:pPr>
        <w:shd w:val="clear" w:color="auto" w:fill="FFFFFF"/>
        <w:spacing w:before="120" w:after="120" w:line="300" w:lineRule="atLeast"/>
        <w:jc w:val="both"/>
        <w:rPr>
          <w:rFonts w:ascii="Arial" w:eastAsia="Times New Roman" w:hAnsi="Arial" w:cs="Arial"/>
          <w:color w:val="1F497D" w:themeColor="text2"/>
          <w:sz w:val="19"/>
          <w:szCs w:val="19"/>
          <w:lang w:eastAsia="fr-FR"/>
        </w:rPr>
      </w:pPr>
    </w:p>
    <w:p w:rsidR="001B443D" w:rsidRPr="00092AE9" w:rsidRDefault="00983E3D" w:rsidP="00897E4B">
      <w:pPr>
        <w:shd w:val="clear" w:color="auto" w:fill="FFFFFF"/>
        <w:spacing w:before="120" w:after="120" w:line="300" w:lineRule="atLeast"/>
        <w:jc w:val="both"/>
        <w:rPr>
          <w:rFonts w:ascii="Arial" w:eastAsia="Times New Roman" w:hAnsi="Arial" w:cs="Arial"/>
          <w:b/>
          <w:color w:val="1F497D" w:themeColor="text2"/>
          <w:sz w:val="19"/>
          <w:szCs w:val="19"/>
          <w:lang w:eastAsia="fr-FR"/>
        </w:rPr>
      </w:pPr>
      <w:r w:rsidRPr="00092AE9">
        <w:rPr>
          <w:rFonts w:ascii="Arial" w:eastAsia="Times New Roman" w:hAnsi="Arial" w:cs="Arial"/>
          <w:b/>
          <w:color w:val="1F497D" w:themeColor="text2"/>
          <w:sz w:val="19"/>
          <w:szCs w:val="19"/>
          <w:lang w:eastAsia="fr-FR"/>
        </w:rPr>
        <w:t>I</w:t>
      </w:r>
      <w:r w:rsidR="00032C2C" w:rsidRPr="00092AE9">
        <w:rPr>
          <w:rFonts w:ascii="Arial" w:eastAsia="Times New Roman" w:hAnsi="Arial" w:cs="Arial"/>
          <w:b/>
          <w:color w:val="1F497D" w:themeColor="text2"/>
          <w:sz w:val="19"/>
          <w:szCs w:val="19"/>
          <w:lang w:eastAsia="fr-FR"/>
        </w:rPr>
        <w:t>/ L’accessibilité du bureau de vote</w:t>
      </w:r>
    </w:p>
    <w:p w:rsidR="002313B8" w:rsidRPr="002313B8" w:rsidRDefault="002313B8" w:rsidP="00897E4B">
      <w:pPr>
        <w:shd w:val="clear" w:color="auto" w:fill="FFFFFF"/>
        <w:spacing w:before="120" w:after="120" w:line="300" w:lineRule="atLeast"/>
        <w:jc w:val="both"/>
        <w:rPr>
          <w:rFonts w:ascii="Arial" w:eastAsia="Times New Roman" w:hAnsi="Arial" w:cs="Arial"/>
          <w:color w:val="424242"/>
          <w:sz w:val="19"/>
          <w:szCs w:val="19"/>
          <w:lang w:eastAsia="fr-FR"/>
        </w:rPr>
      </w:pPr>
      <w:r w:rsidRPr="002313B8">
        <w:rPr>
          <w:rFonts w:ascii="Arial" w:eastAsia="Times New Roman" w:hAnsi="Arial" w:cs="Arial"/>
          <w:color w:val="424242"/>
          <w:sz w:val="19"/>
          <w:szCs w:val="19"/>
          <w:lang w:eastAsia="fr-FR"/>
        </w:rPr>
        <w:t xml:space="preserve">L’article </w:t>
      </w:r>
      <w:r w:rsidR="00897E4B">
        <w:rPr>
          <w:rFonts w:ascii="Arial" w:eastAsia="Times New Roman" w:hAnsi="Arial" w:cs="Arial"/>
          <w:color w:val="424242"/>
          <w:sz w:val="19"/>
          <w:szCs w:val="19"/>
          <w:lang w:eastAsia="fr-FR"/>
        </w:rPr>
        <w:t>L.62-2 du Code électoral</w:t>
      </w:r>
      <w:r>
        <w:rPr>
          <w:rFonts w:ascii="Arial" w:eastAsia="Times New Roman" w:hAnsi="Arial" w:cs="Arial"/>
          <w:color w:val="424242"/>
          <w:sz w:val="19"/>
          <w:szCs w:val="19"/>
          <w:lang w:eastAsia="fr-FR"/>
        </w:rPr>
        <w:t xml:space="preserve"> dispose : </w:t>
      </w:r>
      <w:r w:rsidRPr="005711FD">
        <w:rPr>
          <w:rFonts w:ascii="Arial" w:eastAsia="Times New Roman" w:hAnsi="Arial" w:cs="Arial"/>
          <w:i/>
          <w:color w:val="424242"/>
          <w:sz w:val="19"/>
          <w:szCs w:val="19"/>
          <w:lang w:eastAsia="fr-FR"/>
        </w:rPr>
        <w:t>« les bureaux et les techniques de vote doivent être accessibles aux personnes handicapées, quel que soit le type de ce handicap</w:t>
      </w:r>
      <w:r w:rsidR="005711FD" w:rsidRPr="005711FD">
        <w:rPr>
          <w:rFonts w:ascii="Arial" w:eastAsia="Times New Roman" w:hAnsi="Arial" w:cs="Arial"/>
          <w:i/>
          <w:color w:val="424242"/>
          <w:sz w:val="19"/>
          <w:szCs w:val="19"/>
          <w:lang w:eastAsia="fr-FR"/>
        </w:rPr>
        <w:t>, notamment physique, sensoriel, mental ou psychique, dans des conditions fixées par décret ».</w:t>
      </w:r>
      <w:r>
        <w:rPr>
          <w:rFonts w:ascii="Arial" w:eastAsia="Times New Roman" w:hAnsi="Arial" w:cs="Arial"/>
          <w:color w:val="424242"/>
          <w:sz w:val="19"/>
          <w:szCs w:val="19"/>
          <w:lang w:eastAsia="fr-FR"/>
        </w:rPr>
        <w:t xml:space="preserve"> </w:t>
      </w:r>
    </w:p>
    <w:p w:rsidR="00032C2C" w:rsidRDefault="00032C2C" w:rsidP="00897E4B">
      <w:pPr>
        <w:shd w:val="clear" w:color="auto" w:fill="FFFFFF"/>
        <w:spacing w:before="120" w:after="120" w:line="300" w:lineRule="atLeast"/>
        <w:jc w:val="both"/>
        <w:rPr>
          <w:rFonts w:ascii="Arial" w:eastAsia="Times New Roman" w:hAnsi="Arial" w:cs="Arial"/>
          <w:color w:val="424242"/>
          <w:sz w:val="19"/>
          <w:szCs w:val="19"/>
          <w:lang w:eastAsia="fr-FR"/>
        </w:rPr>
      </w:pPr>
      <w:r>
        <w:rPr>
          <w:rFonts w:ascii="Arial" w:eastAsia="Times New Roman" w:hAnsi="Arial" w:cs="Arial"/>
          <w:color w:val="424242"/>
          <w:sz w:val="19"/>
          <w:szCs w:val="19"/>
          <w:lang w:eastAsia="fr-FR"/>
        </w:rPr>
        <w:lastRenderedPageBreak/>
        <w:t xml:space="preserve">Les lieux de vote sont fixés par arrêté préfectoral. Il appartient au préfet, ainsi qu’au Maire et le cas échéant, aux adjoints et conseillers municipaux qui président les bureaux de vote, de tout mettre en œuvre afin que l’ensemble des bureaux permette le vote des personnes en situation de handicap comme tout un chacun. </w:t>
      </w:r>
    </w:p>
    <w:p w:rsidR="00C55D87" w:rsidRDefault="001475BA" w:rsidP="00897E4B">
      <w:pPr>
        <w:shd w:val="clear" w:color="auto" w:fill="FFFFFF"/>
        <w:spacing w:before="120" w:after="120" w:line="300" w:lineRule="atLeast"/>
        <w:jc w:val="both"/>
        <w:rPr>
          <w:rFonts w:ascii="Arial" w:eastAsia="Times New Roman" w:hAnsi="Arial" w:cs="Arial"/>
          <w:color w:val="424242"/>
          <w:sz w:val="19"/>
          <w:szCs w:val="19"/>
          <w:lang w:eastAsia="fr-FR"/>
        </w:rPr>
      </w:pPr>
      <w:r>
        <w:rPr>
          <w:rFonts w:ascii="Arial" w:eastAsia="Times New Roman" w:hAnsi="Arial" w:cs="Arial"/>
          <w:color w:val="424242"/>
          <w:sz w:val="19"/>
          <w:szCs w:val="19"/>
          <w:lang w:eastAsia="fr-FR"/>
        </w:rPr>
        <w:t>Le choix de l’emplacement du bureau de vote est un facteur essentiel pour permettre aux personnes handicapées d’y accéder en toute autonomie</w:t>
      </w:r>
      <w:r w:rsidR="00A24919">
        <w:rPr>
          <w:rFonts w:ascii="Arial" w:eastAsia="Times New Roman" w:hAnsi="Arial" w:cs="Arial"/>
          <w:color w:val="424242"/>
          <w:sz w:val="19"/>
          <w:szCs w:val="19"/>
          <w:lang w:eastAsia="fr-FR"/>
        </w:rPr>
        <w:t xml:space="preserve"> (article D.56</w:t>
      </w:r>
      <w:r w:rsidR="000A0BCD">
        <w:rPr>
          <w:rFonts w:ascii="Arial" w:eastAsia="Times New Roman" w:hAnsi="Arial" w:cs="Arial"/>
          <w:color w:val="424242"/>
          <w:sz w:val="19"/>
          <w:szCs w:val="19"/>
          <w:lang w:eastAsia="fr-FR"/>
        </w:rPr>
        <w:t xml:space="preserve">-1, D.56-2 et D.56-3 </w:t>
      </w:r>
      <w:r w:rsidR="00A24919">
        <w:rPr>
          <w:rFonts w:ascii="Arial" w:eastAsia="Times New Roman" w:hAnsi="Arial" w:cs="Arial"/>
          <w:color w:val="424242"/>
          <w:sz w:val="19"/>
          <w:szCs w:val="19"/>
          <w:lang w:eastAsia="fr-FR"/>
        </w:rPr>
        <w:t>du Code électoral)</w:t>
      </w:r>
      <w:r>
        <w:rPr>
          <w:rFonts w:ascii="Arial" w:eastAsia="Times New Roman" w:hAnsi="Arial" w:cs="Arial"/>
          <w:color w:val="424242"/>
          <w:sz w:val="19"/>
          <w:szCs w:val="19"/>
          <w:lang w:eastAsia="fr-FR"/>
        </w:rPr>
        <w:t xml:space="preserve">. </w:t>
      </w:r>
      <w:r w:rsidR="00A72AC2">
        <w:rPr>
          <w:rFonts w:ascii="Arial" w:eastAsia="Times New Roman" w:hAnsi="Arial" w:cs="Arial"/>
          <w:color w:val="424242"/>
          <w:sz w:val="19"/>
          <w:szCs w:val="19"/>
          <w:lang w:eastAsia="fr-FR"/>
        </w:rPr>
        <w:t>Le mat</w:t>
      </w:r>
      <w:r w:rsidR="002313B8">
        <w:rPr>
          <w:rFonts w:ascii="Arial" w:eastAsia="Times New Roman" w:hAnsi="Arial" w:cs="Arial"/>
          <w:color w:val="424242"/>
          <w:sz w:val="19"/>
          <w:szCs w:val="19"/>
          <w:lang w:eastAsia="fr-FR"/>
        </w:rPr>
        <w:t xml:space="preserve">ériel lui-même (urne, isoloir) </w:t>
      </w:r>
      <w:r w:rsidR="007D241D">
        <w:rPr>
          <w:rFonts w:ascii="Arial" w:eastAsia="Times New Roman" w:hAnsi="Arial" w:cs="Arial"/>
          <w:color w:val="424242"/>
          <w:sz w:val="19"/>
          <w:szCs w:val="19"/>
          <w:lang w:eastAsia="fr-FR"/>
        </w:rPr>
        <w:t>doit</w:t>
      </w:r>
      <w:r w:rsidR="00A72AC2">
        <w:rPr>
          <w:rFonts w:ascii="Arial" w:eastAsia="Times New Roman" w:hAnsi="Arial" w:cs="Arial"/>
          <w:color w:val="424242"/>
          <w:sz w:val="19"/>
          <w:szCs w:val="19"/>
          <w:lang w:eastAsia="fr-FR"/>
        </w:rPr>
        <w:t xml:space="preserve"> respecter un certain nombre de normes, inscrites dans le code électoral.</w:t>
      </w:r>
      <w:r w:rsidR="00A24919">
        <w:rPr>
          <w:rFonts w:ascii="Arial" w:eastAsia="Times New Roman" w:hAnsi="Arial" w:cs="Arial"/>
          <w:color w:val="424242"/>
          <w:sz w:val="19"/>
          <w:szCs w:val="19"/>
          <w:lang w:eastAsia="fr-FR"/>
        </w:rPr>
        <w:t xml:space="preserve"> Les conditions ont été fixées par Décret n°2006-1287 du 20 Octobre 2006.</w:t>
      </w:r>
    </w:p>
    <w:p w:rsidR="00E0400E" w:rsidRDefault="00E0400E" w:rsidP="00897E4B">
      <w:pPr>
        <w:shd w:val="clear" w:color="auto" w:fill="FFFFFF"/>
        <w:spacing w:before="120" w:after="120" w:line="300" w:lineRule="atLeast"/>
        <w:jc w:val="both"/>
        <w:rPr>
          <w:rFonts w:ascii="Arial" w:eastAsia="Times New Roman" w:hAnsi="Arial" w:cs="Arial"/>
          <w:color w:val="424242"/>
          <w:sz w:val="19"/>
          <w:szCs w:val="19"/>
          <w:lang w:eastAsia="fr-FR"/>
        </w:rPr>
      </w:pPr>
      <w:r>
        <w:rPr>
          <w:rFonts w:ascii="Arial" w:eastAsia="Times New Roman" w:hAnsi="Arial" w:cs="Arial"/>
          <w:color w:val="424242"/>
          <w:sz w:val="19"/>
          <w:szCs w:val="19"/>
          <w:lang w:eastAsia="fr-FR"/>
        </w:rPr>
        <w:t>Le recours aux machines à voter est prévu dans les communes de plus de 3500 habitants (Article L.57-1 du Code électoral). Bien que n’étant pas obligatoire, celles-ci doivent permettre aux électeurs handicapés de voter de façon autonome, quel que soit leur handicap.</w:t>
      </w:r>
    </w:p>
    <w:p w:rsidR="00611C6F" w:rsidRPr="00E0400E" w:rsidRDefault="000A5D3A" w:rsidP="00897E4B">
      <w:pPr>
        <w:shd w:val="clear" w:color="auto" w:fill="FFFFFF"/>
        <w:spacing w:before="120" w:after="120" w:line="300" w:lineRule="atLeast"/>
        <w:jc w:val="both"/>
        <w:rPr>
          <w:rFonts w:ascii="Arial" w:eastAsia="Times New Roman" w:hAnsi="Arial" w:cs="Arial"/>
          <w:color w:val="424242"/>
          <w:sz w:val="19"/>
          <w:szCs w:val="19"/>
          <w:lang w:eastAsia="fr-FR"/>
        </w:rPr>
      </w:pPr>
      <w:r>
        <w:rPr>
          <w:rFonts w:ascii="Arial" w:eastAsia="Times New Roman" w:hAnsi="Arial" w:cs="Arial"/>
          <w:color w:val="424242"/>
          <w:sz w:val="19"/>
          <w:szCs w:val="19"/>
          <w:lang w:eastAsia="fr-FR"/>
        </w:rPr>
        <w:t>Les personne</w:t>
      </w:r>
      <w:r w:rsidR="00A72AC2">
        <w:rPr>
          <w:rFonts w:ascii="Arial" w:eastAsia="Times New Roman" w:hAnsi="Arial" w:cs="Arial"/>
          <w:color w:val="424242"/>
          <w:sz w:val="19"/>
          <w:szCs w:val="19"/>
          <w:lang w:eastAsia="fr-FR"/>
        </w:rPr>
        <w:t>s en situation de handicap doivent accéder aux lieux de vote par la même entrée que les autres personnes. Cette entrée doit faire l’objet d’une signalétique claire (panneau aux caractères agrandis et contrastés, éclairage, implantation qui ne doit pas gêner le déplacement ou la canne blanche…)</w:t>
      </w:r>
    </w:p>
    <w:p w:rsidR="00983E3D" w:rsidRDefault="00983E3D" w:rsidP="00897E4B">
      <w:pPr>
        <w:shd w:val="clear" w:color="auto" w:fill="FFFFFF"/>
        <w:spacing w:before="120" w:after="120" w:line="300" w:lineRule="atLeast"/>
        <w:jc w:val="both"/>
        <w:rPr>
          <w:rFonts w:ascii="Arial" w:eastAsia="Times New Roman" w:hAnsi="Arial" w:cs="Arial"/>
          <w:b/>
          <w:color w:val="424242"/>
          <w:sz w:val="19"/>
          <w:szCs w:val="19"/>
          <w:lang w:eastAsia="fr-FR"/>
        </w:rPr>
      </w:pPr>
    </w:p>
    <w:p w:rsidR="00611C6F" w:rsidRPr="00092AE9" w:rsidRDefault="00983E3D" w:rsidP="00897E4B">
      <w:pPr>
        <w:shd w:val="clear" w:color="auto" w:fill="FFFFFF"/>
        <w:spacing w:before="120" w:after="120" w:line="300" w:lineRule="atLeast"/>
        <w:jc w:val="both"/>
        <w:rPr>
          <w:rFonts w:ascii="Arial" w:eastAsia="Times New Roman" w:hAnsi="Arial" w:cs="Arial"/>
          <w:b/>
          <w:color w:val="1F497D" w:themeColor="text2"/>
          <w:sz w:val="19"/>
          <w:szCs w:val="19"/>
          <w:lang w:eastAsia="fr-FR"/>
        </w:rPr>
      </w:pPr>
      <w:r w:rsidRPr="00092AE9">
        <w:rPr>
          <w:rFonts w:ascii="Arial" w:eastAsia="Times New Roman" w:hAnsi="Arial" w:cs="Arial"/>
          <w:b/>
          <w:color w:val="1F497D" w:themeColor="text2"/>
          <w:sz w:val="19"/>
          <w:szCs w:val="19"/>
          <w:lang w:eastAsia="fr-FR"/>
        </w:rPr>
        <w:t>II</w:t>
      </w:r>
      <w:r w:rsidR="00A72AC2" w:rsidRPr="00092AE9">
        <w:rPr>
          <w:rFonts w:ascii="Arial" w:eastAsia="Times New Roman" w:hAnsi="Arial" w:cs="Arial"/>
          <w:b/>
          <w:color w:val="1F497D" w:themeColor="text2"/>
          <w:sz w:val="19"/>
          <w:szCs w:val="19"/>
          <w:lang w:eastAsia="fr-FR"/>
        </w:rPr>
        <w:t>/ L’accessibilité aux opérations électorales</w:t>
      </w:r>
    </w:p>
    <w:p w:rsidR="00611C6F" w:rsidRPr="00092AE9" w:rsidRDefault="00611C6F" w:rsidP="00897E4B">
      <w:pPr>
        <w:pStyle w:val="Paragraphedeliste"/>
        <w:numPr>
          <w:ilvl w:val="0"/>
          <w:numId w:val="5"/>
        </w:numPr>
        <w:shd w:val="clear" w:color="auto" w:fill="FFFFFF"/>
        <w:spacing w:before="120" w:after="120" w:line="300" w:lineRule="atLeast"/>
        <w:jc w:val="both"/>
        <w:rPr>
          <w:rFonts w:ascii="Arial" w:eastAsia="Times New Roman" w:hAnsi="Arial" w:cs="Arial"/>
          <w:b/>
          <w:color w:val="1F497D" w:themeColor="text2"/>
          <w:sz w:val="19"/>
          <w:szCs w:val="19"/>
          <w:lang w:eastAsia="fr-FR"/>
        </w:rPr>
      </w:pPr>
      <w:r w:rsidRPr="00092AE9">
        <w:rPr>
          <w:rFonts w:ascii="Arial" w:eastAsia="Times New Roman" w:hAnsi="Arial" w:cs="Arial"/>
          <w:b/>
          <w:color w:val="1F497D" w:themeColor="text2"/>
          <w:sz w:val="19"/>
          <w:szCs w:val="19"/>
          <w:lang w:eastAsia="fr-FR"/>
        </w:rPr>
        <w:t>L’accompagnement de l’électeur en situation de handicap</w:t>
      </w:r>
    </w:p>
    <w:p w:rsidR="00611C6F" w:rsidRPr="00611C6F" w:rsidRDefault="00611C6F" w:rsidP="00897E4B">
      <w:pPr>
        <w:shd w:val="clear" w:color="auto" w:fill="FFFFFF"/>
        <w:spacing w:before="120" w:after="120" w:line="300" w:lineRule="atLeast"/>
        <w:jc w:val="both"/>
        <w:rPr>
          <w:rFonts w:ascii="Arial" w:eastAsia="Times New Roman" w:hAnsi="Arial" w:cs="Arial"/>
          <w:b/>
          <w:color w:val="424242"/>
          <w:sz w:val="19"/>
          <w:szCs w:val="19"/>
          <w:lang w:eastAsia="fr-FR"/>
        </w:rPr>
      </w:pPr>
      <w:r w:rsidRPr="00611C6F">
        <w:rPr>
          <w:rFonts w:ascii="Arial" w:eastAsia="Times New Roman" w:hAnsi="Arial" w:cs="Arial"/>
          <w:color w:val="424242"/>
          <w:sz w:val="19"/>
          <w:szCs w:val="19"/>
          <w:lang w:eastAsia="fr-FR"/>
        </w:rPr>
        <w:t xml:space="preserve">Le </w:t>
      </w:r>
      <w:r>
        <w:rPr>
          <w:rFonts w:ascii="Arial" w:eastAsia="Times New Roman" w:hAnsi="Arial" w:cs="Arial"/>
          <w:color w:val="424242"/>
          <w:sz w:val="19"/>
          <w:szCs w:val="19"/>
          <w:lang w:eastAsia="fr-FR"/>
        </w:rPr>
        <w:t>principe est que le vote est un acte individuel : l’électeur doit</w:t>
      </w:r>
      <w:r w:rsidRPr="00611C6F">
        <w:rPr>
          <w:rFonts w:ascii="Arial" w:eastAsia="Times New Roman" w:hAnsi="Arial" w:cs="Arial"/>
          <w:color w:val="424242"/>
          <w:sz w:val="19"/>
          <w:szCs w:val="19"/>
          <w:lang w:eastAsia="fr-FR"/>
        </w:rPr>
        <w:t xml:space="preserve"> passer seul dans l'isoloir et introduire lui-même son enveloppe dans l'urne.</w:t>
      </w:r>
    </w:p>
    <w:p w:rsidR="00611C6F" w:rsidRPr="00E869FF" w:rsidRDefault="00611C6F" w:rsidP="00897E4B">
      <w:pPr>
        <w:shd w:val="clear" w:color="auto" w:fill="FFFFFF"/>
        <w:spacing w:before="120" w:after="120" w:line="300" w:lineRule="atLeast"/>
        <w:jc w:val="both"/>
        <w:rPr>
          <w:rFonts w:ascii="Arial" w:eastAsia="Times New Roman" w:hAnsi="Arial" w:cs="Arial"/>
          <w:color w:val="424242"/>
          <w:sz w:val="19"/>
          <w:szCs w:val="19"/>
          <w:lang w:eastAsia="fr-FR"/>
        </w:rPr>
      </w:pPr>
      <w:r w:rsidRPr="00E869FF">
        <w:rPr>
          <w:rFonts w:ascii="Arial" w:eastAsia="Times New Roman" w:hAnsi="Arial" w:cs="Arial"/>
          <w:color w:val="424242"/>
          <w:sz w:val="19"/>
          <w:szCs w:val="19"/>
          <w:lang w:eastAsia="fr-FR"/>
        </w:rPr>
        <w:t>Lorsque ces conditions ne sont pas respectées, il en est fait mention au procès-verbal du bureau de vote. Cela peut conduire à l'annulation des suffrages du bureau de vote en question.</w:t>
      </w:r>
    </w:p>
    <w:p w:rsidR="00611C6F" w:rsidRPr="00E869FF" w:rsidRDefault="00611C6F" w:rsidP="00897E4B">
      <w:pPr>
        <w:shd w:val="clear" w:color="auto" w:fill="FFFFFF"/>
        <w:spacing w:before="120" w:after="120" w:line="300" w:lineRule="atLeast"/>
        <w:jc w:val="both"/>
        <w:rPr>
          <w:rFonts w:ascii="Arial" w:eastAsia="Times New Roman" w:hAnsi="Arial" w:cs="Arial"/>
          <w:color w:val="424242"/>
          <w:sz w:val="19"/>
          <w:szCs w:val="19"/>
          <w:lang w:eastAsia="fr-FR"/>
        </w:rPr>
      </w:pPr>
      <w:r w:rsidRPr="00E869FF">
        <w:rPr>
          <w:rFonts w:ascii="Arial" w:eastAsia="Times New Roman" w:hAnsi="Arial" w:cs="Arial"/>
          <w:color w:val="424242"/>
          <w:sz w:val="19"/>
          <w:szCs w:val="19"/>
          <w:lang w:eastAsia="fr-FR"/>
        </w:rPr>
        <w:t>Toutefois, les personnes handicapées peuvent avoir besoin de se faire assister physiquement afin d'accomplir leur devoir électoral. C</w:t>
      </w:r>
      <w:r w:rsidR="002313B8">
        <w:rPr>
          <w:rFonts w:ascii="Arial" w:eastAsia="Times New Roman" w:hAnsi="Arial" w:cs="Arial"/>
          <w:color w:val="424242"/>
          <w:sz w:val="19"/>
          <w:szCs w:val="19"/>
          <w:lang w:eastAsia="fr-FR"/>
        </w:rPr>
        <w:t>'est pourquoi, l’article L</w:t>
      </w:r>
      <w:r w:rsidR="00F03A55">
        <w:rPr>
          <w:rFonts w:ascii="Arial" w:eastAsia="Times New Roman" w:hAnsi="Arial" w:cs="Arial"/>
          <w:color w:val="424242"/>
          <w:sz w:val="19"/>
          <w:szCs w:val="19"/>
          <w:lang w:eastAsia="fr-FR"/>
        </w:rPr>
        <w:t>.</w:t>
      </w:r>
      <w:r w:rsidR="002313B8">
        <w:rPr>
          <w:rFonts w:ascii="Arial" w:eastAsia="Times New Roman" w:hAnsi="Arial" w:cs="Arial"/>
          <w:color w:val="424242"/>
          <w:sz w:val="19"/>
          <w:szCs w:val="19"/>
          <w:lang w:eastAsia="fr-FR"/>
        </w:rPr>
        <w:t>64 du Code électoral</w:t>
      </w:r>
      <w:r w:rsidRPr="00E869FF">
        <w:rPr>
          <w:rFonts w:ascii="Arial" w:eastAsia="Times New Roman" w:hAnsi="Arial" w:cs="Arial"/>
          <w:color w:val="424242"/>
          <w:sz w:val="19"/>
          <w:szCs w:val="19"/>
          <w:lang w:eastAsia="fr-FR"/>
        </w:rPr>
        <w:t xml:space="preserve"> permet qu'elles se fassent accompagner par un électeur de leur choix. Ce dernier n'est pas obligatoirement du même bureau de vote, ni de la même commune.</w:t>
      </w:r>
    </w:p>
    <w:p w:rsidR="00611C6F" w:rsidRDefault="00611C6F" w:rsidP="00897E4B">
      <w:pPr>
        <w:shd w:val="clear" w:color="auto" w:fill="FFFFFF"/>
        <w:spacing w:before="120" w:after="120" w:line="300" w:lineRule="atLeast"/>
        <w:jc w:val="both"/>
        <w:rPr>
          <w:rFonts w:ascii="Arial" w:eastAsia="Times New Roman" w:hAnsi="Arial" w:cs="Arial"/>
          <w:color w:val="424242"/>
          <w:sz w:val="19"/>
          <w:szCs w:val="19"/>
          <w:lang w:eastAsia="fr-FR"/>
        </w:rPr>
      </w:pPr>
      <w:r w:rsidRPr="00E869FF">
        <w:rPr>
          <w:rFonts w:ascii="Arial" w:eastAsia="Times New Roman" w:hAnsi="Arial" w:cs="Arial"/>
          <w:color w:val="424242"/>
          <w:sz w:val="19"/>
          <w:szCs w:val="19"/>
          <w:lang w:eastAsia="fr-FR"/>
        </w:rPr>
        <w:t>L'électeur accompagnateur peut lui aussi rentrer dans l'isoloir. Il peut également introduire l'enveloppe dans l'urne à la place de l'électeur qu'il accompagne. Si la personne handicapée ne peut signer elle-même la liste d'émargement, l'électeur qui l'accompagne peut signer à sa place avec la mention manuscrite : " L'électeur ne peut signer lui-même ".</w:t>
      </w:r>
    </w:p>
    <w:p w:rsidR="00A24919" w:rsidRDefault="00897E4B" w:rsidP="00897E4B">
      <w:pPr>
        <w:shd w:val="clear" w:color="auto" w:fill="FFFFFF"/>
        <w:spacing w:before="120" w:after="120" w:line="300" w:lineRule="atLeast"/>
        <w:jc w:val="both"/>
        <w:rPr>
          <w:rFonts w:ascii="Arial" w:eastAsia="Times New Roman" w:hAnsi="Arial" w:cs="Arial"/>
          <w:color w:val="424242"/>
          <w:sz w:val="19"/>
          <w:szCs w:val="19"/>
          <w:lang w:eastAsia="fr-FR"/>
        </w:rPr>
      </w:pPr>
      <w:r>
        <w:rPr>
          <w:rFonts w:ascii="Arial" w:eastAsia="Times New Roman" w:hAnsi="Arial" w:cs="Arial"/>
          <w:color w:val="424242"/>
          <w:sz w:val="19"/>
          <w:szCs w:val="19"/>
          <w:lang w:eastAsia="fr-FR"/>
        </w:rPr>
        <w:t xml:space="preserve">Les assesseurs, présents dans le bureau de vote, devront </w:t>
      </w:r>
      <w:r w:rsidR="000E56B9">
        <w:rPr>
          <w:rFonts w:ascii="Arial" w:eastAsia="Times New Roman" w:hAnsi="Arial" w:cs="Arial"/>
          <w:color w:val="424242"/>
          <w:sz w:val="19"/>
          <w:szCs w:val="19"/>
          <w:lang w:eastAsia="fr-FR"/>
        </w:rPr>
        <w:t xml:space="preserve">être </w:t>
      </w:r>
      <w:r>
        <w:rPr>
          <w:rFonts w:ascii="Arial" w:eastAsia="Times New Roman" w:hAnsi="Arial" w:cs="Arial"/>
          <w:color w:val="424242"/>
          <w:sz w:val="19"/>
          <w:szCs w:val="19"/>
          <w:lang w:eastAsia="fr-FR"/>
        </w:rPr>
        <w:t>également sensibilisés aux difficultés que peuvent rencontrer les personnes en situation de handicap au moment de voter et pourront, sur demande, leur apporter l’aide nécessaire.</w:t>
      </w:r>
    </w:p>
    <w:p w:rsidR="00A24919" w:rsidRPr="00092AE9" w:rsidRDefault="00A24919" w:rsidP="00A24919">
      <w:pPr>
        <w:pStyle w:val="Paragraphedeliste"/>
        <w:numPr>
          <w:ilvl w:val="0"/>
          <w:numId w:val="5"/>
        </w:numPr>
        <w:shd w:val="clear" w:color="auto" w:fill="FFFFFF"/>
        <w:spacing w:before="120" w:after="120" w:line="300" w:lineRule="atLeast"/>
        <w:jc w:val="both"/>
        <w:rPr>
          <w:rFonts w:ascii="Arial" w:eastAsia="Times New Roman" w:hAnsi="Arial" w:cs="Arial"/>
          <w:b/>
          <w:color w:val="1F497D" w:themeColor="text2"/>
          <w:sz w:val="19"/>
          <w:szCs w:val="19"/>
          <w:lang w:eastAsia="fr-FR"/>
        </w:rPr>
      </w:pPr>
      <w:r w:rsidRPr="00092AE9">
        <w:rPr>
          <w:rFonts w:ascii="Arial" w:eastAsia="Times New Roman" w:hAnsi="Arial" w:cs="Arial"/>
          <w:b/>
          <w:color w:val="1F497D" w:themeColor="text2"/>
          <w:sz w:val="19"/>
          <w:szCs w:val="19"/>
          <w:lang w:eastAsia="fr-FR"/>
        </w:rPr>
        <w:t>Le vote par procuration</w:t>
      </w:r>
    </w:p>
    <w:p w:rsidR="00A24919" w:rsidRPr="00A24919" w:rsidRDefault="000A0BCD" w:rsidP="00A24919">
      <w:pPr>
        <w:shd w:val="clear" w:color="auto" w:fill="FFFFFF"/>
        <w:spacing w:before="120" w:after="120" w:line="300" w:lineRule="atLeast"/>
        <w:jc w:val="both"/>
        <w:rPr>
          <w:rFonts w:ascii="Arial" w:eastAsia="Times New Roman" w:hAnsi="Arial" w:cs="Arial"/>
          <w:color w:val="424242"/>
          <w:sz w:val="19"/>
          <w:szCs w:val="19"/>
          <w:lang w:eastAsia="fr-FR"/>
        </w:rPr>
      </w:pPr>
      <w:r>
        <w:rPr>
          <w:rFonts w:ascii="Arial" w:eastAsia="Times New Roman" w:hAnsi="Arial" w:cs="Arial"/>
          <w:color w:val="424242"/>
          <w:sz w:val="19"/>
          <w:szCs w:val="19"/>
          <w:lang w:eastAsia="fr-FR"/>
        </w:rPr>
        <w:t>L’article L.</w:t>
      </w:r>
      <w:r w:rsidR="00A24919">
        <w:rPr>
          <w:rFonts w:ascii="Arial" w:eastAsia="Times New Roman" w:hAnsi="Arial" w:cs="Arial"/>
          <w:color w:val="424242"/>
          <w:sz w:val="19"/>
          <w:szCs w:val="19"/>
          <w:lang w:eastAsia="fr-FR"/>
        </w:rPr>
        <w:t xml:space="preserve">71 du Code électoral </w:t>
      </w:r>
      <w:r w:rsidR="00A24919" w:rsidRPr="00A24919">
        <w:rPr>
          <w:rFonts w:ascii="Arial" w:eastAsia="Times New Roman" w:hAnsi="Arial" w:cs="Arial"/>
          <w:color w:val="424242"/>
          <w:sz w:val="19"/>
          <w:szCs w:val="19"/>
          <w:lang w:eastAsia="fr-FR"/>
        </w:rPr>
        <w:t>prévoit expressément la possibilité de voter par procuration pour les personnes invalides.</w:t>
      </w:r>
    </w:p>
    <w:p w:rsidR="00A24919" w:rsidRPr="00A24919" w:rsidRDefault="00A24919" w:rsidP="00A24919">
      <w:pPr>
        <w:shd w:val="clear" w:color="auto" w:fill="FFFFFF"/>
        <w:spacing w:before="120" w:after="120" w:line="300" w:lineRule="atLeast"/>
        <w:jc w:val="both"/>
        <w:rPr>
          <w:rFonts w:ascii="Arial" w:eastAsia="Times New Roman" w:hAnsi="Arial" w:cs="Arial"/>
          <w:color w:val="424242"/>
          <w:sz w:val="19"/>
          <w:szCs w:val="19"/>
          <w:lang w:eastAsia="fr-FR"/>
        </w:rPr>
      </w:pPr>
      <w:r w:rsidRPr="00A24919">
        <w:rPr>
          <w:rFonts w:ascii="Arial" w:eastAsia="Times New Roman" w:hAnsi="Arial" w:cs="Arial"/>
          <w:color w:val="424242"/>
          <w:sz w:val="19"/>
          <w:szCs w:val="19"/>
          <w:lang w:eastAsia="fr-FR"/>
        </w:rPr>
        <w:t>Une procuration est normalement établie pour un scrutin déterminé (pour l'un des deux tours ou pour les deux tours). Toutefois, à la demande du mandant, elle peut être fixée à une année à compter de sa date d'établissement si l'intéressé établit être</w:t>
      </w:r>
      <w:r w:rsidR="000E56B9">
        <w:rPr>
          <w:rFonts w:ascii="Arial" w:eastAsia="Times New Roman" w:hAnsi="Arial" w:cs="Arial"/>
          <w:color w:val="424242"/>
          <w:sz w:val="19"/>
          <w:szCs w:val="19"/>
          <w:lang w:eastAsia="fr-FR"/>
        </w:rPr>
        <w:t>, de façon durable,</w:t>
      </w:r>
      <w:r w:rsidRPr="00A24919">
        <w:rPr>
          <w:rFonts w:ascii="Arial" w:eastAsia="Times New Roman" w:hAnsi="Arial" w:cs="Arial"/>
          <w:color w:val="424242"/>
          <w:sz w:val="19"/>
          <w:szCs w:val="19"/>
          <w:lang w:eastAsia="fr-FR"/>
        </w:rPr>
        <w:t xml:space="preserve"> dans l'incapacité de se rendre au bureau de vote.</w:t>
      </w:r>
    </w:p>
    <w:p w:rsidR="00A24919" w:rsidRDefault="00A24919" w:rsidP="00A24919">
      <w:pPr>
        <w:shd w:val="clear" w:color="auto" w:fill="FFFFFF"/>
        <w:spacing w:before="120" w:after="120" w:line="300" w:lineRule="atLeast"/>
        <w:jc w:val="both"/>
        <w:rPr>
          <w:rFonts w:ascii="Arial" w:eastAsia="Times New Roman" w:hAnsi="Arial" w:cs="Arial"/>
          <w:color w:val="424242"/>
          <w:sz w:val="19"/>
          <w:szCs w:val="19"/>
          <w:lang w:eastAsia="fr-FR"/>
        </w:rPr>
      </w:pPr>
      <w:r w:rsidRPr="00A24919">
        <w:rPr>
          <w:rFonts w:ascii="Arial" w:eastAsia="Times New Roman" w:hAnsi="Arial" w:cs="Arial"/>
          <w:color w:val="424242"/>
          <w:sz w:val="19"/>
          <w:szCs w:val="19"/>
          <w:lang w:eastAsia="fr-FR"/>
        </w:rPr>
        <w:lastRenderedPageBreak/>
        <w:t xml:space="preserve">La présence de la personne qui souhaite faire établir une procuration est indispensable mais un électeur handicapé peut parfois être dans l'impossibilité de se déplacer. </w:t>
      </w:r>
    </w:p>
    <w:p w:rsidR="000E56B9" w:rsidRDefault="00A24919" w:rsidP="00897E4B">
      <w:pPr>
        <w:shd w:val="clear" w:color="auto" w:fill="FFFFFF"/>
        <w:spacing w:before="120" w:after="120" w:line="300" w:lineRule="atLeast"/>
        <w:jc w:val="both"/>
        <w:rPr>
          <w:rFonts w:ascii="Arial" w:eastAsia="Times New Roman" w:hAnsi="Arial" w:cs="Arial"/>
          <w:color w:val="424242"/>
          <w:sz w:val="19"/>
          <w:szCs w:val="19"/>
          <w:lang w:eastAsia="fr-FR"/>
        </w:rPr>
      </w:pPr>
      <w:r w:rsidRPr="00A24919">
        <w:rPr>
          <w:rFonts w:ascii="Arial" w:eastAsia="Times New Roman" w:hAnsi="Arial" w:cs="Arial"/>
          <w:color w:val="424242"/>
          <w:sz w:val="19"/>
          <w:szCs w:val="19"/>
          <w:lang w:eastAsia="fr-FR"/>
        </w:rPr>
        <w:t>Les officiers de police judiciaire ou leurs délégués se rendent alors au domicile des personnes</w:t>
      </w:r>
      <w:r w:rsidR="00E0400E">
        <w:rPr>
          <w:rFonts w:ascii="Arial" w:eastAsia="Times New Roman" w:hAnsi="Arial" w:cs="Arial"/>
          <w:color w:val="424242"/>
          <w:sz w:val="19"/>
          <w:szCs w:val="19"/>
          <w:lang w:eastAsia="fr-FR"/>
        </w:rPr>
        <w:t>, possibilité prévue à l’Article R.72 alinéa 2 du Code électoral</w:t>
      </w:r>
      <w:r w:rsidRPr="00A24919">
        <w:rPr>
          <w:rFonts w:ascii="Arial" w:eastAsia="Times New Roman" w:hAnsi="Arial" w:cs="Arial"/>
          <w:color w:val="424242"/>
          <w:sz w:val="19"/>
          <w:szCs w:val="19"/>
          <w:lang w:eastAsia="fr-FR"/>
        </w:rPr>
        <w:t>. La demande doit être formulée par écrit et accompagnée d'un certificat médical ou d'une attestation justifiant que l'électeur est dans l'impossibilité de se déplacer.</w:t>
      </w:r>
    </w:p>
    <w:p w:rsidR="000A0BCD" w:rsidRPr="007B0234" w:rsidRDefault="000A0BCD" w:rsidP="00897E4B">
      <w:pPr>
        <w:shd w:val="clear" w:color="auto" w:fill="FFFFFF"/>
        <w:spacing w:before="120" w:after="120" w:line="300" w:lineRule="atLeast"/>
        <w:jc w:val="both"/>
        <w:rPr>
          <w:rFonts w:ascii="Arial" w:eastAsia="Times New Roman" w:hAnsi="Arial" w:cs="Arial"/>
          <w:color w:val="424242"/>
          <w:sz w:val="19"/>
          <w:szCs w:val="19"/>
          <w:lang w:eastAsia="fr-FR"/>
        </w:rPr>
      </w:pPr>
      <w:r>
        <w:rPr>
          <w:rFonts w:ascii="Arial" w:eastAsia="Times New Roman" w:hAnsi="Arial" w:cs="Arial"/>
          <w:color w:val="424242"/>
          <w:sz w:val="19"/>
          <w:szCs w:val="19"/>
          <w:lang w:eastAsia="fr-FR"/>
        </w:rPr>
        <w:t>Cette possibilité a donné lieu à un contentieux important, notamment dans les maisons de retraite, car les officiers étaient rémunérés au nombre de procurations.</w:t>
      </w:r>
    </w:p>
    <w:p w:rsidR="00897E4B" w:rsidRPr="00092AE9" w:rsidRDefault="00897E4B" w:rsidP="00897E4B">
      <w:pPr>
        <w:pStyle w:val="Paragraphedeliste"/>
        <w:numPr>
          <w:ilvl w:val="0"/>
          <w:numId w:val="5"/>
        </w:numPr>
        <w:shd w:val="clear" w:color="auto" w:fill="FFFFFF"/>
        <w:spacing w:before="120" w:after="120" w:line="300" w:lineRule="atLeast"/>
        <w:jc w:val="both"/>
        <w:rPr>
          <w:rFonts w:ascii="Arial" w:eastAsia="Times New Roman" w:hAnsi="Arial" w:cs="Arial"/>
          <w:b/>
          <w:color w:val="1F497D" w:themeColor="text2"/>
          <w:sz w:val="19"/>
          <w:szCs w:val="19"/>
          <w:lang w:eastAsia="fr-FR"/>
        </w:rPr>
      </w:pPr>
      <w:r w:rsidRPr="00092AE9">
        <w:rPr>
          <w:rFonts w:ascii="Arial" w:eastAsia="Times New Roman" w:hAnsi="Arial" w:cs="Arial"/>
          <w:b/>
          <w:color w:val="1F497D" w:themeColor="text2"/>
          <w:sz w:val="19"/>
          <w:szCs w:val="19"/>
          <w:lang w:eastAsia="fr-FR"/>
        </w:rPr>
        <w:t>L’accès à l’information pour les électeurs en situation de handicap</w:t>
      </w:r>
    </w:p>
    <w:p w:rsidR="00481E36" w:rsidRPr="00481E36" w:rsidRDefault="00481E36" w:rsidP="00481E36">
      <w:pPr>
        <w:shd w:val="clear" w:color="auto" w:fill="FFFFFF"/>
        <w:spacing w:before="120" w:after="120" w:line="300" w:lineRule="atLeast"/>
        <w:jc w:val="both"/>
        <w:rPr>
          <w:rFonts w:ascii="Arial" w:eastAsia="Times New Roman" w:hAnsi="Arial" w:cs="Arial"/>
          <w:color w:val="424242"/>
          <w:sz w:val="19"/>
          <w:szCs w:val="19"/>
          <w:u w:val="single"/>
          <w:lang w:eastAsia="fr-FR"/>
        </w:rPr>
      </w:pPr>
      <w:bookmarkStart w:id="1" w:name="_Hlk497658974"/>
      <w:r w:rsidRPr="00481E36">
        <w:rPr>
          <w:rFonts w:ascii="Arial" w:eastAsia="Times New Roman" w:hAnsi="Arial" w:cs="Arial"/>
          <w:color w:val="424242"/>
          <w:sz w:val="19"/>
          <w:szCs w:val="19"/>
          <w:u w:val="single"/>
          <w:lang w:eastAsia="fr-FR"/>
        </w:rPr>
        <w:t>L’envoi de la propagande électorale à domicile</w:t>
      </w:r>
    </w:p>
    <w:p w:rsidR="00E0400E" w:rsidRPr="00E0400E" w:rsidRDefault="00E0400E" w:rsidP="00481E36">
      <w:pPr>
        <w:shd w:val="clear" w:color="auto" w:fill="FFFFFF"/>
        <w:spacing w:before="120" w:after="120" w:line="300" w:lineRule="atLeast"/>
        <w:jc w:val="both"/>
        <w:rPr>
          <w:rFonts w:ascii="Arial" w:eastAsia="Times New Roman" w:hAnsi="Arial" w:cs="Arial"/>
          <w:color w:val="424242"/>
          <w:sz w:val="19"/>
          <w:szCs w:val="19"/>
          <w:lang w:eastAsia="fr-FR"/>
        </w:rPr>
      </w:pPr>
      <w:r w:rsidRPr="00E0400E">
        <w:rPr>
          <w:rFonts w:ascii="Arial" w:eastAsia="Times New Roman" w:hAnsi="Arial" w:cs="Arial"/>
          <w:color w:val="424242"/>
          <w:sz w:val="19"/>
          <w:szCs w:val="19"/>
          <w:lang w:eastAsia="fr-FR"/>
        </w:rPr>
        <w:t>Pour chaque scrutin, la propagande électorale est envoyée au domicile de chaque électeur. Il s'agit de la profession de foi des candidats et des bulletins de vote.</w:t>
      </w:r>
    </w:p>
    <w:p w:rsidR="00E0400E" w:rsidRPr="00E0400E" w:rsidRDefault="00E0400E" w:rsidP="00E0400E">
      <w:pPr>
        <w:shd w:val="clear" w:color="auto" w:fill="FFFFFF"/>
        <w:spacing w:before="120" w:after="120" w:line="300" w:lineRule="atLeast"/>
        <w:jc w:val="both"/>
        <w:rPr>
          <w:rFonts w:ascii="Arial" w:eastAsia="Times New Roman" w:hAnsi="Arial" w:cs="Arial"/>
          <w:color w:val="424242"/>
          <w:sz w:val="19"/>
          <w:szCs w:val="19"/>
          <w:lang w:eastAsia="fr-FR"/>
        </w:rPr>
      </w:pPr>
      <w:r w:rsidRPr="00E0400E">
        <w:rPr>
          <w:rFonts w:ascii="Arial" w:eastAsia="Times New Roman" w:hAnsi="Arial" w:cs="Arial"/>
          <w:color w:val="424242"/>
          <w:sz w:val="19"/>
          <w:szCs w:val="19"/>
          <w:lang w:eastAsia="fr-FR"/>
        </w:rPr>
        <w:t>Cet envoi permet à toute personne de préparer son bulletin de vote à son domicile et, si besoin est, de se faire aider par un tiers. Il lui suffit alors de prendre dans le bureau de vote l'enveloppe de scrutin et de passer par l'isoloir.</w:t>
      </w:r>
    </w:p>
    <w:p w:rsidR="00E0400E" w:rsidRPr="00E0400E" w:rsidRDefault="00E0400E" w:rsidP="00E0400E">
      <w:pPr>
        <w:shd w:val="clear" w:color="auto" w:fill="FFFFFF"/>
        <w:spacing w:before="120" w:after="120" w:line="300" w:lineRule="atLeast"/>
        <w:jc w:val="both"/>
        <w:rPr>
          <w:rFonts w:ascii="Arial" w:eastAsia="Times New Roman" w:hAnsi="Arial" w:cs="Arial"/>
          <w:color w:val="424242"/>
          <w:sz w:val="19"/>
          <w:szCs w:val="19"/>
          <w:lang w:eastAsia="fr-FR"/>
        </w:rPr>
      </w:pPr>
      <w:r w:rsidRPr="00E0400E">
        <w:rPr>
          <w:rFonts w:ascii="Arial" w:eastAsia="Times New Roman" w:hAnsi="Arial" w:cs="Arial"/>
          <w:color w:val="424242"/>
          <w:sz w:val="19"/>
          <w:szCs w:val="19"/>
          <w:lang w:eastAsia="fr-FR"/>
        </w:rPr>
        <w:t>Cet envoi s'ajoute à la mise à disposition des bulletins de vote dans les bureaux de vote.</w:t>
      </w:r>
    </w:p>
    <w:bookmarkEnd w:id="1"/>
    <w:p w:rsidR="00A72AC2" w:rsidRDefault="00481E36" w:rsidP="00897E4B">
      <w:pPr>
        <w:shd w:val="clear" w:color="auto" w:fill="FFFFFF"/>
        <w:spacing w:before="120" w:after="120" w:line="300" w:lineRule="atLeast"/>
        <w:jc w:val="both"/>
        <w:rPr>
          <w:rFonts w:ascii="Arial" w:eastAsia="Times New Roman" w:hAnsi="Arial" w:cs="Arial"/>
          <w:color w:val="424242"/>
          <w:sz w:val="19"/>
          <w:szCs w:val="19"/>
          <w:u w:val="single"/>
          <w:lang w:eastAsia="fr-FR"/>
        </w:rPr>
      </w:pPr>
      <w:r w:rsidRPr="00481E36">
        <w:rPr>
          <w:rFonts w:ascii="Arial" w:eastAsia="Times New Roman" w:hAnsi="Arial" w:cs="Arial"/>
          <w:color w:val="424242"/>
          <w:sz w:val="19"/>
          <w:szCs w:val="19"/>
          <w:u w:val="single"/>
          <w:lang w:eastAsia="fr-FR"/>
        </w:rPr>
        <w:t xml:space="preserve">L’accès aux sites internet d’informations </w:t>
      </w:r>
    </w:p>
    <w:p w:rsidR="00120314" w:rsidRDefault="00481E36" w:rsidP="00897E4B">
      <w:pPr>
        <w:shd w:val="clear" w:color="auto" w:fill="FFFFFF"/>
        <w:spacing w:before="120" w:after="120" w:line="300" w:lineRule="atLeast"/>
        <w:jc w:val="both"/>
        <w:rPr>
          <w:rFonts w:ascii="Arial" w:eastAsia="Times New Roman" w:hAnsi="Arial" w:cs="Arial"/>
          <w:color w:val="424242"/>
          <w:sz w:val="19"/>
          <w:szCs w:val="19"/>
          <w:lang w:eastAsia="fr-FR"/>
        </w:rPr>
      </w:pPr>
      <w:r w:rsidRPr="00481E36">
        <w:rPr>
          <w:rFonts w:ascii="Arial" w:eastAsia="Times New Roman" w:hAnsi="Arial" w:cs="Arial"/>
          <w:color w:val="424242"/>
          <w:sz w:val="19"/>
          <w:szCs w:val="19"/>
          <w:lang w:eastAsia="fr-FR"/>
        </w:rPr>
        <w:t>La</w:t>
      </w:r>
      <w:r>
        <w:rPr>
          <w:rFonts w:ascii="Arial" w:eastAsia="Times New Roman" w:hAnsi="Arial" w:cs="Arial"/>
          <w:color w:val="424242"/>
          <w:sz w:val="19"/>
          <w:szCs w:val="19"/>
          <w:lang w:eastAsia="fr-FR"/>
        </w:rPr>
        <w:t xml:space="preserve"> loi du 11 février 2005 précise que les services de communication publique en ligne doivent être accessibles aux personnes en situation de handicap.</w:t>
      </w:r>
      <w:r w:rsidR="000A0BCD">
        <w:rPr>
          <w:rFonts w:ascii="Arial" w:eastAsia="Times New Roman" w:hAnsi="Arial" w:cs="Arial"/>
          <w:color w:val="424242"/>
          <w:sz w:val="19"/>
          <w:szCs w:val="19"/>
          <w:lang w:eastAsia="fr-FR"/>
        </w:rPr>
        <w:t xml:space="preserve"> Depuis le 16 mai 2016, un R</w:t>
      </w:r>
      <w:r w:rsidR="00F33984">
        <w:rPr>
          <w:rFonts w:ascii="Arial" w:eastAsia="Times New Roman" w:hAnsi="Arial" w:cs="Arial"/>
          <w:color w:val="424242"/>
          <w:sz w:val="19"/>
          <w:szCs w:val="19"/>
          <w:lang w:eastAsia="fr-FR"/>
        </w:rPr>
        <w:t>éférentiel</w:t>
      </w:r>
      <w:r w:rsidR="009345FD">
        <w:rPr>
          <w:rFonts w:ascii="Arial" w:eastAsia="Times New Roman" w:hAnsi="Arial" w:cs="Arial"/>
          <w:color w:val="424242"/>
          <w:sz w:val="19"/>
          <w:szCs w:val="19"/>
          <w:lang w:eastAsia="fr-FR"/>
        </w:rPr>
        <w:t xml:space="preserve"> Général d’Accessibilité pour les Administrations (RGAA),</w:t>
      </w:r>
      <w:r w:rsidR="00F33984">
        <w:rPr>
          <w:rFonts w:ascii="Arial" w:eastAsia="Times New Roman" w:hAnsi="Arial" w:cs="Arial"/>
          <w:color w:val="424242"/>
          <w:sz w:val="19"/>
          <w:szCs w:val="19"/>
          <w:lang w:eastAsia="fr-FR"/>
        </w:rPr>
        <w:t xml:space="preserve"> élaboré par </w:t>
      </w:r>
      <w:r w:rsidR="00120314">
        <w:rPr>
          <w:rFonts w:ascii="Arial" w:eastAsia="Times New Roman" w:hAnsi="Arial" w:cs="Arial"/>
          <w:color w:val="424242"/>
          <w:sz w:val="19"/>
          <w:szCs w:val="19"/>
          <w:lang w:eastAsia="fr-FR"/>
        </w:rPr>
        <w:t>les services de l’Etat</w:t>
      </w:r>
      <w:r w:rsidR="009345FD">
        <w:rPr>
          <w:rFonts w:ascii="Arial" w:eastAsia="Times New Roman" w:hAnsi="Arial" w:cs="Arial"/>
          <w:color w:val="424242"/>
          <w:sz w:val="19"/>
          <w:szCs w:val="19"/>
          <w:lang w:eastAsia="fr-FR"/>
        </w:rPr>
        <w:t>,</w:t>
      </w:r>
      <w:r w:rsidR="00120314">
        <w:rPr>
          <w:rFonts w:ascii="Arial" w:eastAsia="Times New Roman" w:hAnsi="Arial" w:cs="Arial"/>
          <w:color w:val="424242"/>
          <w:sz w:val="19"/>
          <w:szCs w:val="19"/>
          <w:lang w:eastAsia="fr-FR"/>
        </w:rPr>
        <w:t xml:space="preserve"> permet d’assurer la fiabilité de l’accessibilité des sites internet de l’administration. Les candidat</w:t>
      </w:r>
      <w:r w:rsidR="007B0234">
        <w:rPr>
          <w:rFonts w:ascii="Arial" w:eastAsia="Times New Roman" w:hAnsi="Arial" w:cs="Arial"/>
          <w:color w:val="424242"/>
          <w:sz w:val="19"/>
          <w:szCs w:val="19"/>
          <w:lang w:eastAsia="fr-FR"/>
        </w:rPr>
        <w:t>s</w:t>
      </w:r>
      <w:r w:rsidR="00120314">
        <w:rPr>
          <w:rFonts w:ascii="Arial" w:eastAsia="Times New Roman" w:hAnsi="Arial" w:cs="Arial"/>
          <w:color w:val="424242"/>
          <w:sz w:val="19"/>
          <w:szCs w:val="19"/>
          <w:lang w:eastAsia="fr-FR"/>
        </w:rPr>
        <w:t xml:space="preserve"> sont encouragés à s’en inspirer pour leurs campagnes, et les médias pour l’information en période électorale. </w:t>
      </w:r>
    </w:p>
    <w:p w:rsidR="00905E94" w:rsidRDefault="00120314" w:rsidP="00897E4B">
      <w:pPr>
        <w:shd w:val="clear" w:color="auto" w:fill="FFFFFF"/>
        <w:spacing w:before="120" w:after="120" w:line="300" w:lineRule="atLeast"/>
        <w:jc w:val="both"/>
        <w:rPr>
          <w:rFonts w:ascii="Arial" w:hAnsi="Arial" w:cs="Arial"/>
          <w:color w:val="4A4D56"/>
          <w:sz w:val="19"/>
          <w:szCs w:val="19"/>
          <w:shd w:val="clear" w:color="auto" w:fill="FFFFFF"/>
        </w:rPr>
      </w:pPr>
      <w:r>
        <w:rPr>
          <w:rFonts w:ascii="Arial" w:hAnsi="Arial" w:cs="Arial"/>
          <w:color w:val="4A4D56"/>
          <w:sz w:val="19"/>
          <w:szCs w:val="19"/>
          <w:shd w:val="clear" w:color="auto" w:fill="FFFFFF"/>
        </w:rPr>
        <w:t xml:space="preserve">La CNCDH plaide, quant à elle, </w:t>
      </w:r>
      <w:r w:rsidR="00905E94" w:rsidRPr="00120314">
        <w:rPr>
          <w:rFonts w:ascii="Arial" w:hAnsi="Arial" w:cs="Arial"/>
          <w:color w:val="4A4D56"/>
          <w:sz w:val="19"/>
          <w:szCs w:val="19"/>
          <w:shd w:val="clear" w:color="auto" w:fill="FFFFFF"/>
        </w:rPr>
        <w:t>pour une meilleure accessibilité des campagnes électorales (utilisation du langage « Facile à lire et à comprendre », recours à des traducteurs en langue des signes, accessibilité des sites internet, réunions permettant de vrais échanges avec les personnes handicapées...).</w:t>
      </w:r>
    </w:p>
    <w:p w:rsidR="00D534B7" w:rsidRPr="007B0234" w:rsidRDefault="0071261E" w:rsidP="007B0234">
      <w:pPr>
        <w:shd w:val="clear" w:color="auto" w:fill="FFFFFF"/>
        <w:spacing w:before="120" w:after="120" w:line="300" w:lineRule="atLeast"/>
        <w:jc w:val="both"/>
        <w:rPr>
          <w:rFonts w:ascii="Arial" w:eastAsia="Times New Roman" w:hAnsi="Arial" w:cs="Arial"/>
          <w:color w:val="424242"/>
          <w:sz w:val="19"/>
          <w:szCs w:val="19"/>
          <w:lang w:eastAsia="fr-FR"/>
        </w:rPr>
      </w:pPr>
      <w:r>
        <w:rPr>
          <w:rFonts w:ascii="Arial" w:hAnsi="Arial" w:cs="Arial"/>
          <w:color w:val="4A4D56"/>
          <w:sz w:val="19"/>
          <w:szCs w:val="19"/>
          <w:shd w:val="clear" w:color="auto" w:fill="FFFFFF"/>
        </w:rPr>
        <w:t>Concernant plus spécifiquement l’accès à l’information des sourds ou malentenda</w:t>
      </w:r>
      <w:r w:rsidR="002F36A4">
        <w:rPr>
          <w:rFonts w:ascii="Arial" w:hAnsi="Arial" w:cs="Arial"/>
          <w:color w:val="4A4D56"/>
          <w:sz w:val="19"/>
          <w:szCs w:val="19"/>
          <w:shd w:val="clear" w:color="auto" w:fill="FFFFFF"/>
        </w:rPr>
        <w:t>nts, le Conseil Supérieur de l’A</w:t>
      </w:r>
      <w:r>
        <w:rPr>
          <w:rFonts w:ascii="Arial" w:hAnsi="Arial" w:cs="Arial"/>
          <w:color w:val="4A4D56"/>
          <w:sz w:val="19"/>
          <w:szCs w:val="19"/>
          <w:shd w:val="clear" w:color="auto" w:fill="FFFFFF"/>
        </w:rPr>
        <w:t>udiovisuel (CSA) a adopté, le 4 janvier 2011</w:t>
      </w:r>
      <w:r w:rsidR="007435B5">
        <w:rPr>
          <w:rFonts w:ascii="Arial" w:hAnsi="Arial" w:cs="Arial"/>
          <w:color w:val="4A4D56"/>
          <w:sz w:val="19"/>
          <w:szCs w:val="19"/>
          <w:shd w:val="clear" w:color="auto" w:fill="FFFFFF"/>
        </w:rPr>
        <w:t xml:space="preserve">, une délibération en vue des consultations électorales et référendaires. Il y est mentionné que </w:t>
      </w:r>
      <w:r w:rsidR="007435B5" w:rsidRPr="007435B5">
        <w:rPr>
          <w:rFonts w:ascii="Arial" w:hAnsi="Arial" w:cs="Arial"/>
          <w:i/>
          <w:color w:val="4A4D56"/>
          <w:sz w:val="19"/>
          <w:szCs w:val="19"/>
          <w:shd w:val="clear" w:color="auto" w:fill="FFFFFF"/>
        </w:rPr>
        <w:t>« les éditeurs de services de télévision dont l’audience moyenne dépasse 2,5 % de l’audience totale sont tenus d’assurer l’accès, par sous-titrage ou langue des signes, des personnes sourdes ou malentendantes à l’ensemble des programmes consacrés à l’actualité électorale ».</w:t>
      </w:r>
      <w:bookmarkStart w:id="2" w:name="eztoc18618_0_1"/>
      <w:bookmarkEnd w:id="2"/>
    </w:p>
    <w:p w:rsidR="00092AE9" w:rsidRDefault="00092AE9" w:rsidP="00897E4B">
      <w:pPr>
        <w:shd w:val="clear" w:color="auto" w:fill="FFFFFF"/>
        <w:spacing w:before="300" w:after="120" w:line="240" w:lineRule="auto"/>
        <w:jc w:val="both"/>
        <w:outlineLvl w:val="1"/>
        <w:rPr>
          <w:rFonts w:eastAsia="Times New Roman" w:cstheme="minorHAnsi"/>
          <w:b/>
          <w:bCs/>
          <w:lang w:eastAsia="fr-FR"/>
        </w:rPr>
      </w:pPr>
    </w:p>
    <w:p w:rsidR="007B0234" w:rsidRPr="00983E3D" w:rsidRDefault="00983E3D" w:rsidP="00897E4B">
      <w:pPr>
        <w:shd w:val="clear" w:color="auto" w:fill="FFFFFF"/>
        <w:spacing w:before="300" w:after="120" w:line="240" w:lineRule="auto"/>
        <w:jc w:val="both"/>
        <w:outlineLvl w:val="1"/>
        <w:rPr>
          <w:rFonts w:eastAsia="Times New Roman" w:cstheme="minorHAnsi"/>
          <w:b/>
          <w:bCs/>
          <w:lang w:eastAsia="fr-FR"/>
        </w:rPr>
      </w:pPr>
      <w:r w:rsidRPr="00092AE9">
        <w:rPr>
          <w:rFonts w:eastAsia="Times New Roman" w:cstheme="minorHAnsi"/>
          <w:b/>
          <w:bCs/>
          <w:color w:val="1F497D" w:themeColor="text2"/>
          <w:lang w:eastAsia="fr-FR"/>
        </w:rPr>
        <w:t>III/ L’épineuse question du droit de vote des personnes souffrant d’un handicap mental</w:t>
      </w:r>
    </w:p>
    <w:p w:rsidR="00983E3D" w:rsidRPr="00092AE9" w:rsidRDefault="00983E3D" w:rsidP="00983E3D">
      <w:pPr>
        <w:pStyle w:val="Paragraphedeliste"/>
        <w:numPr>
          <w:ilvl w:val="0"/>
          <w:numId w:val="5"/>
        </w:numPr>
        <w:shd w:val="clear" w:color="auto" w:fill="FFFFFF"/>
        <w:spacing w:before="120" w:after="120" w:line="300" w:lineRule="atLeast"/>
        <w:jc w:val="both"/>
        <w:rPr>
          <w:rFonts w:ascii="Arial" w:eastAsia="Times New Roman" w:hAnsi="Arial" w:cs="Arial"/>
          <w:b/>
          <w:color w:val="1F497D" w:themeColor="text2"/>
          <w:sz w:val="19"/>
          <w:szCs w:val="19"/>
          <w:lang w:eastAsia="fr-FR"/>
        </w:rPr>
      </w:pPr>
      <w:bookmarkStart w:id="3" w:name="eztoc18618_0_2"/>
      <w:bookmarkEnd w:id="3"/>
      <w:r w:rsidRPr="00092AE9">
        <w:rPr>
          <w:rFonts w:ascii="Arial" w:eastAsia="Times New Roman" w:hAnsi="Arial" w:cs="Arial"/>
          <w:b/>
          <w:color w:val="1F497D" w:themeColor="text2"/>
          <w:sz w:val="19"/>
          <w:szCs w:val="19"/>
          <w:lang w:eastAsia="fr-FR"/>
        </w:rPr>
        <w:t>Ce que dit la loi </w:t>
      </w:r>
    </w:p>
    <w:p w:rsidR="005115C6" w:rsidRDefault="005115C6" w:rsidP="00897E4B">
      <w:pPr>
        <w:shd w:val="clear" w:color="auto" w:fill="FFFFFF"/>
        <w:spacing w:before="120" w:after="120" w:line="300" w:lineRule="atLeast"/>
        <w:jc w:val="both"/>
        <w:rPr>
          <w:rFonts w:ascii="Arial" w:eastAsia="Times New Roman" w:hAnsi="Arial" w:cs="Arial"/>
          <w:color w:val="424242"/>
          <w:sz w:val="19"/>
          <w:szCs w:val="19"/>
          <w:lang w:eastAsia="fr-FR"/>
        </w:rPr>
      </w:pPr>
      <w:r>
        <w:rPr>
          <w:rFonts w:ascii="Arial" w:eastAsia="Times New Roman" w:hAnsi="Arial" w:cs="Arial"/>
          <w:color w:val="424242"/>
          <w:sz w:val="19"/>
          <w:szCs w:val="19"/>
          <w:lang w:eastAsia="fr-FR"/>
        </w:rPr>
        <w:t>Ce n’est qu’en 2005 que la loi handicap a octroyé le droit de vote aux personnes sous tutelle, en majorité des personnes souffrant d’un handicap. Auparavant, leu</w:t>
      </w:r>
      <w:r w:rsidR="006E2AF8">
        <w:rPr>
          <w:rFonts w:ascii="Arial" w:eastAsia="Times New Roman" w:hAnsi="Arial" w:cs="Arial"/>
          <w:color w:val="424242"/>
          <w:sz w:val="19"/>
          <w:szCs w:val="19"/>
          <w:lang w:eastAsia="fr-FR"/>
        </w:rPr>
        <w:t>rs droits civiques étaient su</w:t>
      </w:r>
      <w:r>
        <w:rPr>
          <w:rFonts w:ascii="Arial" w:eastAsia="Times New Roman" w:hAnsi="Arial" w:cs="Arial"/>
          <w:color w:val="424242"/>
          <w:sz w:val="19"/>
          <w:szCs w:val="19"/>
          <w:lang w:eastAsia="fr-FR"/>
        </w:rPr>
        <w:t>p</w:t>
      </w:r>
      <w:r w:rsidR="006E2AF8">
        <w:rPr>
          <w:rFonts w:ascii="Arial" w:eastAsia="Times New Roman" w:hAnsi="Arial" w:cs="Arial"/>
          <w:color w:val="424242"/>
          <w:sz w:val="19"/>
          <w:szCs w:val="19"/>
          <w:lang w:eastAsia="fr-FR"/>
        </w:rPr>
        <w:t>p</w:t>
      </w:r>
      <w:r w:rsidR="000E56B9">
        <w:rPr>
          <w:rFonts w:ascii="Arial" w:eastAsia="Times New Roman" w:hAnsi="Arial" w:cs="Arial"/>
          <w:color w:val="424242"/>
          <w:sz w:val="19"/>
          <w:szCs w:val="19"/>
          <w:lang w:eastAsia="fr-FR"/>
        </w:rPr>
        <w:t>rimé</w:t>
      </w:r>
      <w:r>
        <w:rPr>
          <w:rFonts w:ascii="Arial" w:eastAsia="Times New Roman" w:hAnsi="Arial" w:cs="Arial"/>
          <w:color w:val="424242"/>
          <w:sz w:val="19"/>
          <w:szCs w:val="19"/>
          <w:lang w:eastAsia="fr-FR"/>
        </w:rPr>
        <w:t xml:space="preserve">s dès qu’ils étaient placés sous </w:t>
      </w:r>
      <w:r w:rsidR="006E2AF8">
        <w:rPr>
          <w:rFonts w:ascii="Arial" w:eastAsia="Times New Roman" w:hAnsi="Arial" w:cs="Arial"/>
          <w:color w:val="424242"/>
          <w:sz w:val="19"/>
          <w:szCs w:val="19"/>
          <w:lang w:eastAsia="fr-FR"/>
        </w:rPr>
        <w:t>ce type de protection juridique</w:t>
      </w:r>
      <w:r>
        <w:rPr>
          <w:rFonts w:ascii="Arial" w:eastAsia="Times New Roman" w:hAnsi="Arial" w:cs="Arial"/>
          <w:color w:val="424242"/>
          <w:sz w:val="19"/>
          <w:szCs w:val="19"/>
          <w:lang w:eastAsia="fr-FR"/>
        </w:rPr>
        <w:t>.</w:t>
      </w:r>
    </w:p>
    <w:p w:rsidR="002F36A4" w:rsidRDefault="006E2AF8" w:rsidP="00897E4B">
      <w:pPr>
        <w:shd w:val="clear" w:color="auto" w:fill="FFFFFF"/>
        <w:spacing w:before="120" w:after="120" w:line="300" w:lineRule="atLeast"/>
        <w:jc w:val="both"/>
        <w:rPr>
          <w:rFonts w:ascii="Arial" w:eastAsia="Times New Roman" w:hAnsi="Arial" w:cs="Arial"/>
          <w:color w:val="424242"/>
          <w:sz w:val="19"/>
          <w:szCs w:val="19"/>
          <w:lang w:eastAsia="fr-FR"/>
        </w:rPr>
      </w:pPr>
      <w:r>
        <w:rPr>
          <w:rFonts w:ascii="Arial" w:eastAsia="Times New Roman" w:hAnsi="Arial" w:cs="Arial"/>
          <w:color w:val="424242"/>
          <w:sz w:val="19"/>
          <w:szCs w:val="19"/>
          <w:lang w:eastAsia="fr-FR"/>
        </w:rPr>
        <w:t xml:space="preserve">Un collectif de 600 associations (Union Nationale des Associations de parents, de personnes handicapées mentales et de leurs amis) se sont battues pour aller jusqu’au bout de la réforme. </w:t>
      </w:r>
      <w:r w:rsidR="00B33F08">
        <w:rPr>
          <w:rFonts w:ascii="Arial" w:eastAsia="Times New Roman" w:hAnsi="Arial" w:cs="Arial"/>
          <w:color w:val="424242"/>
          <w:sz w:val="19"/>
          <w:szCs w:val="19"/>
          <w:lang w:eastAsia="fr-FR"/>
        </w:rPr>
        <w:t>Elles ont obtenu que la loi sur la protection juridique du 5 mars 2007, entrée en vigueur en janvier 2009, simplifie l’accès à ce droit</w:t>
      </w:r>
      <w:r w:rsidR="002F36A4">
        <w:rPr>
          <w:rFonts w:ascii="Arial" w:eastAsia="Times New Roman" w:hAnsi="Arial" w:cs="Arial"/>
          <w:color w:val="424242"/>
          <w:sz w:val="19"/>
          <w:szCs w:val="19"/>
          <w:lang w:eastAsia="fr-FR"/>
        </w:rPr>
        <w:t xml:space="preserve">. </w:t>
      </w:r>
    </w:p>
    <w:p w:rsidR="006E2AF8" w:rsidRDefault="002F36A4" w:rsidP="00897E4B">
      <w:pPr>
        <w:shd w:val="clear" w:color="auto" w:fill="FFFFFF"/>
        <w:spacing w:before="120" w:after="120" w:line="300" w:lineRule="atLeast"/>
        <w:jc w:val="both"/>
        <w:rPr>
          <w:rFonts w:ascii="Arial" w:eastAsia="Times New Roman" w:hAnsi="Arial" w:cs="Arial"/>
          <w:color w:val="424242"/>
          <w:sz w:val="19"/>
          <w:szCs w:val="19"/>
          <w:lang w:eastAsia="fr-FR"/>
        </w:rPr>
      </w:pPr>
      <w:r>
        <w:rPr>
          <w:rFonts w:ascii="Arial" w:eastAsia="Times New Roman" w:hAnsi="Arial" w:cs="Arial"/>
          <w:color w:val="424242"/>
          <w:sz w:val="19"/>
          <w:szCs w:val="19"/>
          <w:lang w:eastAsia="fr-FR"/>
        </w:rPr>
        <w:t>A</w:t>
      </w:r>
      <w:r w:rsidR="00B33F08">
        <w:rPr>
          <w:rFonts w:ascii="Arial" w:eastAsia="Times New Roman" w:hAnsi="Arial" w:cs="Arial"/>
          <w:color w:val="424242"/>
          <w:sz w:val="19"/>
          <w:szCs w:val="19"/>
          <w:lang w:eastAsia="fr-FR"/>
        </w:rPr>
        <w:t>vant cette loi,</w:t>
      </w:r>
      <w:r>
        <w:rPr>
          <w:rFonts w:ascii="Arial" w:eastAsia="Times New Roman" w:hAnsi="Arial" w:cs="Arial"/>
          <w:color w:val="424242"/>
          <w:sz w:val="19"/>
          <w:szCs w:val="19"/>
          <w:lang w:eastAsia="fr-FR"/>
        </w:rPr>
        <w:t xml:space="preserve"> la norme restait l’interdiction et</w:t>
      </w:r>
      <w:r w:rsidR="00B33F08">
        <w:rPr>
          <w:rFonts w:ascii="Arial" w:eastAsia="Times New Roman" w:hAnsi="Arial" w:cs="Arial"/>
          <w:color w:val="424242"/>
          <w:sz w:val="19"/>
          <w:szCs w:val="19"/>
          <w:lang w:eastAsia="fr-FR"/>
        </w:rPr>
        <w:t xml:space="preserve"> une personne mise sous tutelle, était interdite de droit de v</w:t>
      </w:r>
      <w:r>
        <w:rPr>
          <w:rFonts w:ascii="Arial" w:eastAsia="Times New Roman" w:hAnsi="Arial" w:cs="Arial"/>
          <w:color w:val="424242"/>
          <w:sz w:val="19"/>
          <w:szCs w:val="19"/>
          <w:lang w:eastAsia="fr-FR"/>
        </w:rPr>
        <w:t>ote sauf autorisation du juge.</w:t>
      </w:r>
      <w:r w:rsidR="00B33F08">
        <w:rPr>
          <w:rFonts w:ascii="Arial" w:eastAsia="Times New Roman" w:hAnsi="Arial" w:cs="Arial"/>
          <w:color w:val="424242"/>
          <w:sz w:val="19"/>
          <w:szCs w:val="19"/>
          <w:lang w:eastAsia="fr-FR"/>
        </w:rPr>
        <w:t xml:space="preserve"> Depuis, </w:t>
      </w:r>
      <w:r>
        <w:rPr>
          <w:rFonts w:ascii="Arial" w:eastAsia="Times New Roman" w:hAnsi="Arial" w:cs="Arial"/>
          <w:color w:val="424242"/>
          <w:sz w:val="19"/>
          <w:szCs w:val="19"/>
          <w:lang w:eastAsia="fr-FR"/>
        </w:rPr>
        <w:t xml:space="preserve">les personnes placées sous tutelle ont toutes le droit de voter et c’est au juge d’en demander l’interdiction : </w:t>
      </w:r>
      <w:r w:rsidR="00B33F08">
        <w:rPr>
          <w:rFonts w:ascii="Arial" w:eastAsia="Times New Roman" w:hAnsi="Arial" w:cs="Arial"/>
          <w:color w:val="424242"/>
          <w:sz w:val="19"/>
          <w:szCs w:val="19"/>
          <w:lang w:eastAsia="fr-FR"/>
        </w:rPr>
        <w:t>l’article L</w:t>
      </w:r>
      <w:r w:rsidR="005B35FB">
        <w:rPr>
          <w:rFonts w:ascii="Arial" w:eastAsia="Times New Roman" w:hAnsi="Arial" w:cs="Arial"/>
          <w:color w:val="424242"/>
          <w:sz w:val="19"/>
          <w:szCs w:val="19"/>
          <w:lang w:eastAsia="fr-FR"/>
        </w:rPr>
        <w:t>.</w:t>
      </w:r>
      <w:r w:rsidR="00B33F08">
        <w:rPr>
          <w:rFonts w:ascii="Arial" w:eastAsia="Times New Roman" w:hAnsi="Arial" w:cs="Arial"/>
          <w:color w:val="424242"/>
          <w:sz w:val="19"/>
          <w:szCs w:val="19"/>
          <w:lang w:eastAsia="fr-FR"/>
        </w:rPr>
        <w:t>5 du Code électoral précise que la décision de</w:t>
      </w:r>
      <w:r w:rsidRPr="002F36A4">
        <w:rPr>
          <w:rFonts w:ascii="Arial" w:eastAsia="Times New Roman" w:hAnsi="Arial" w:cs="Arial"/>
          <w:color w:val="424242"/>
          <w:sz w:val="19"/>
          <w:szCs w:val="19"/>
          <w:lang w:eastAsia="fr-FR"/>
        </w:rPr>
        <w:t xml:space="preserve"> </w:t>
      </w:r>
      <w:r w:rsidRPr="00E869FF">
        <w:rPr>
          <w:rFonts w:ascii="Arial" w:eastAsia="Times New Roman" w:hAnsi="Arial" w:cs="Arial"/>
          <w:color w:val="424242"/>
          <w:sz w:val="19"/>
          <w:szCs w:val="19"/>
          <w:lang w:eastAsia="fr-FR"/>
        </w:rPr>
        <w:t xml:space="preserve">les priver de ce droit ne peut être prise que par un juge, au moment de la mise en place </w:t>
      </w:r>
      <w:r w:rsidR="000E56B9">
        <w:rPr>
          <w:rFonts w:ascii="Arial" w:eastAsia="Times New Roman" w:hAnsi="Arial" w:cs="Arial"/>
          <w:color w:val="424242"/>
          <w:sz w:val="19"/>
          <w:szCs w:val="19"/>
          <w:lang w:eastAsia="fr-FR"/>
        </w:rPr>
        <w:t xml:space="preserve">ou du renouvellement </w:t>
      </w:r>
      <w:r w:rsidRPr="00E869FF">
        <w:rPr>
          <w:rFonts w:ascii="Arial" w:eastAsia="Times New Roman" w:hAnsi="Arial" w:cs="Arial"/>
          <w:color w:val="424242"/>
          <w:sz w:val="19"/>
          <w:szCs w:val="19"/>
          <w:lang w:eastAsia="fr-FR"/>
        </w:rPr>
        <w:t>de cette mesure de protection</w:t>
      </w:r>
      <w:r>
        <w:rPr>
          <w:rFonts w:ascii="Arial" w:eastAsia="Times New Roman" w:hAnsi="Arial" w:cs="Arial"/>
          <w:color w:val="424242"/>
          <w:sz w:val="19"/>
          <w:szCs w:val="19"/>
          <w:lang w:eastAsia="fr-FR"/>
        </w:rPr>
        <w:t>.</w:t>
      </w:r>
    </w:p>
    <w:p w:rsidR="002F36A4" w:rsidRDefault="002F36A4" w:rsidP="00897E4B">
      <w:pPr>
        <w:shd w:val="clear" w:color="auto" w:fill="FFFFFF"/>
        <w:spacing w:before="120" w:after="120" w:line="300" w:lineRule="atLeast"/>
        <w:jc w:val="both"/>
        <w:rPr>
          <w:rFonts w:ascii="Arial" w:eastAsia="Times New Roman" w:hAnsi="Arial" w:cs="Arial"/>
          <w:color w:val="424242"/>
          <w:sz w:val="19"/>
          <w:szCs w:val="19"/>
          <w:lang w:eastAsia="fr-FR"/>
        </w:rPr>
      </w:pPr>
      <w:r w:rsidRPr="00E869FF">
        <w:rPr>
          <w:rFonts w:ascii="Arial" w:eastAsia="Times New Roman" w:hAnsi="Arial" w:cs="Arial"/>
          <w:color w:val="424242"/>
          <w:sz w:val="19"/>
          <w:szCs w:val="19"/>
          <w:lang w:eastAsia="fr-FR"/>
        </w:rPr>
        <w:t>Les personnes faisant l’objet d’une mesure de sauvegarde de justice ou de curatelle conservent dans tous les cas ce droit et peuvent s’inscrire sur les listes électorales.</w:t>
      </w:r>
    </w:p>
    <w:p w:rsidR="008B1324" w:rsidRPr="000E56B9" w:rsidRDefault="00127F2E" w:rsidP="00F97B53">
      <w:pPr>
        <w:shd w:val="clear" w:color="auto" w:fill="FFFFFF"/>
        <w:spacing w:before="120" w:after="120" w:line="300" w:lineRule="atLeast"/>
        <w:jc w:val="both"/>
        <w:rPr>
          <w:rFonts w:ascii="Arial" w:eastAsia="Times New Roman" w:hAnsi="Arial" w:cs="Arial"/>
          <w:color w:val="000000"/>
          <w:sz w:val="19"/>
          <w:szCs w:val="19"/>
          <w:lang w:eastAsia="fr-FR"/>
        </w:rPr>
      </w:pPr>
      <w:r w:rsidRPr="00983E3D">
        <w:rPr>
          <w:rFonts w:ascii="Arial" w:eastAsia="Times New Roman" w:hAnsi="Arial" w:cs="Arial"/>
          <w:color w:val="000000"/>
          <w:sz w:val="19"/>
          <w:szCs w:val="19"/>
          <w:lang w:eastAsia="fr-FR"/>
        </w:rPr>
        <w:t xml:space="preserve">La procédure s'est donc inversée mais une épée de Damoclès continue néanmoins de planer au-dessus de ceux qui désirent légitimement </w:t>
      </w:r>
      <w:r w:rsidR="00F97B53">
        <w:rPr>
          <w:rFonts w:ascii="Arial" w:eastAsia="Times New Roman" w:hAnsi="Arial" w:cs="Arial"/>
          <w:color w:val="000000"/>
          <w:sz w:val="19"/>
          <w:szCs w:val="19"/>
          <w:lang w:eastAsia="fr-FR"/>
        </w:rPr>
        <w:t>exercer leurs droits civiques, ce que la CNDH dénonce dans un avis sans appel du 26 janvier 2017.</w:t>
      </w:r>
      <w:bookmarkStart w:id="4" w:name="eztoc18618_0_3"/>
      <w:bookmarkStart w:id="5" w:name="eztoc18618_0_4"/>
      <w:bookmarkStart w:id="6" w:name="eztoc18618_0_5"/>
      <w:bookmarkEnd w:id="4"/>
      <w:bookmarkEnd w:id="5"/>
      <w:bookmarkEnd w:id="6"/>
    </w:p>
    <w:p w:rsidR="0034212C" w:rsidRPr="00092AE9" w:rsidRDefault="002C6E53" w:rsidP="0034212C">
      <w:pPr>
        <w:pStyle w:val="Paragraphedeliste"/>
        <w:numPr>
          <w:ilvl w:val="0"/>
          <w:numId w:val="5"/>
        </w:numPr>
        <w:shd w:val="clear" w:color="auto" w:fill="FFFFFF"/>
        <w:spacing w:after="0" w:line="336" w:lineRule="atLeast"/>
        <w:jc w:val="both"/>
        <w:textAlignment w:val="baseline"/>
        <w:rPr>
          <w:rFonts w:ascii="Arial" w:eastAsia="Times New Roman" w:hAnsi="Arial" w:cs="Arial"/>
          <w:b/>
          <w:color w:val="1F497D" w:themeColor="text2"/>
          <w:sz w:val="19"/>
          <w:szCs w:val="19"/>
          <w:lang w:eastAsia="fr-FR"/>
        </w:rPr>
      </w:pPr>
      <w:r w:rsidRPr="00092AE9">
        <w:rPr>
          <w:rFonts w:ascii="Arial" w:eastAsia="Times New Roman" w:hAnsi="Arial" w:cs="Arial"/>
          <w:b/>
          <w:color w:val="1F497D" w:themeColor="text2"/>
          <w:sz w:val="19"/>
          <w:szCs w:val="19"/>
          <w:lang w:eastAsia="fr-FR"/>
        </w:rPr>
        <w:t>Le rapport de la CNDH du 26 janvier 2017</w:t>
      </w:r>
    </w:p>
    <w:p w:rsidR="002F36A4" w:rsidRDefault="002C6E53" w:rsidP="002F36A4">
      <w:pPr>
        <w:shd w:val="clear" w:color="auto" w:fill="FFFFFF"/>
        <w:spacing w:after="0" w:line="336" w:lineRule="atLeast"/>
        <w:jc w:val="both"/>
        <w:textAlignment w:val="baseline"/>
        <w:rPr>
          <w:rFonts w:ascii="Arial" w:eastAsia="Times New Roman" w:hAnsi="Arial" w:cs="Arial"/>
          <w:color w:val="000000"/>
          <w:sz w:val="19"/>
          <w:szCs w:val="19"/>
          <w:lang w:eastAsia="fr-FR"/>
        </w:rPr>
      </w:pPr>
      <w:r w:rsidRPr="00F97B53">
        <w:rPr>
          <w:rFonts w:ascii="Arial" w:eastAsia="Times New Roman" w:hAnsi="Arial" w:cs="Arial"/>
          <w:color w:val="000000"/>
          <w:sz w:val="19"/>
          <w:szCs w:val="19"/>
          <w:lang w:eastAsia="fr-FR"/>
        </w:rPr>
        <w:t xml:space="preserve">Dans une interview accordée à La Croix le 26 janvier 2017, Josef </w:t>
      </w:r>
      <w:proofErr w:type="spellStart"/>
      <w:r w:rsidRPr="00F97B53">
        <w:rPr>
          <w:rFonts w:ascii="Arial" w:eastAsia="Times New Roman" w:hAnsi="Arial" w:cs="Arial"/>
          <w:color w:val="000000"/>
          <w:sz w:val="19"/>
          <w:szCs w:val="19"/>
          <w:lang w:eastAsia="fr-FR"/>
        </w:rPr>
        <w:t>Schovanec</w:t>
      </w:r>
      <w:proofErr w:type="spellEnd"/>
      <w:r w:rsidRPr="00F97B53">
        <w:rPr>
          <w:rFonts w:ascii="Arial" w:eastAsia="Times New Roman" w:hAnsi="Arial" w:cs="Arial"/>
          <w:color w:val="000000"/>
          <w:sz w:val="19"/>
          <w:szCs w:val="19"/>
          <w:lang w:eastAsia="fr-FR"/>
        </w:rPr>
        <w:t>, personne au</w:t>
      </w:r>
      <w:r w:rsidR="000E56B9">
        <w:rPr>
          <w:rFonts w:ascii="Arial" w:eastAsia="Times New Roman" w:hAnsi="Arial" w:cs="Arial"/>
          <w:color w:val="000000"/>
          <w:sz w:val="19"/>
          <w:szCs w:val="19"/>
          <w:lang w:eastAsia="fr-FR"/>
        </w:rPr>
        <w:t xml:space="preserve">tiste, écrivain et philosophe </w:t>
      </w:r>
      <w:r w:rsidRPr="00F97B53">
        <w:rPr>
          <w:rFonts w:ascii="Arial" w:eastAsia="Times New Roman" w:hAnsi="Arial" w:cs="Arial"/>
          <w:color w:val="000000"/>
          <w:sz w:val="19"/>
          <w:szCs w:val="19"/>
          <w:lang w:eastAsia="fr-FR"/>
        </w:rPr>
        <w:t xml:space="preserve">clamait </w:t>
      </w:r>
      <w:r w:rsidRPr="00F97B53">
        <w:rPr>
          <w:rFonts w:ascii="Arial" w:eastAsia="Times New Roman" w:hAnsi="Arial" w:cs="Arial"/>
          <w:i/>
          <w:color w:val="000000"/>
          <w:sz w:val="19"/>
          <w:szCs w:val="19"/>
          <w:lang w:eastAsia="fr-FR"/>
        </w:rPr>
        <w:t>« le vote n’est pas une question d’intelligence ».</w:t>
      </w:r>
    </w:p>
    <w:p w:rsidR="002E5DA9" w:rsidRDefault="002E5DA9" w:rsidP="002F36A4">
      <w:pPr>
        <w:shd w:val="clear" w:color="auto" w:fill="FFFFFF"/>
        <w:spacing w:after="0" w:line="336" w:lineRule="atLeast"/>
        <w:jc w:val="both"/>
        <w:textAlignment w:val="baseline"/>
        <w:rPr>
          <w:rFonts w:ascii="Arial" w:eastAsia="Times New Roman" w:hAnsi="Arial" w:cs="Arial"/>
          <w:color w:val="000000"/>
          <w:sz w:val="19"/>
          <w:szCs w:val="19"/>
          <w:lang w:eastAsia="fr-FR"/>
        </w:rPr>
      </w:pPr>
    </w:p>
    <w:p w:rsidR="00983E3D" w:rsidRPr="009337A6" w:rsidRDefault="002C6E53" w:rsidP="002F36A4">
      <w:pPr>
        <w:shd w:val="clear" w:color="auto" w:fill="FFFFFF"/>
        <w:spacing w:after="0" w:line="336" w:lineRule="atLeast"/>
        <w:jc w:val="both"/>
        <w:textAlignment w:val="baseline"/>
        <w:rPr>
          <w:rFonts w:ascii="Arial" w:eastAsia="Times New Roman" w:hAnsi="Arial" w:cs="Arial"/>
          <w:color w:val="000000"/>
          <w:sz w:val="19"/>
          <w:szCs w:val="19"/>
          <w:lang w:eastAsia="fr-FR"/>
        </w:rPr>
      </w:pPr>
      <w:r w:rsidRPr="00F97B53">
        <w:rPr>
          <w:rFonts w:ascii="Arial" w:eastAsia="Times New Roman" w:hAnsi="Arial" w:cs="Arial"/>
          <w:color w:val="000000"/>
          <w:sz w:val="19"/>
          <w:szCs w:val="19"/>
          <w:lang w:eastAsia="fr-FR"/>
        </w:rPr>
        <w:t>Hasard du calendrier : le même jour, la CNCDH rendait public un avis dans lequel elle</w:t>
      </w:r>
      <w:r w:rsidR="001F231E">
        <w:rPr>
          <w:rFonts w:ascii="Arial" w:eastAsia="Times New Roman" w:hAnsi="Arial" w:cs="Arial"/>
          <w:color w:val="000000"/>
          <w:sz w:val="19"/>
          <w:szCs w:val="19"/>
          <w:lang w:eastAsia="fr-FR"/>
        </w:rPr>
        <w:t xml:space="preserve"> juge</w:t>
      </w:r>
      <w:r w:rsidR="0034212C">
        <w:rPr>
          <w:rFonts w:ascii="Arial" w:eastAsia="Times New Roman" w:hAnsi="Arial" w:cs="Arial"/>
          <w:color w:val="000000"/>
          <w:sz w:val="19"/>
          <w:szCs w:val="19"/>
          <w:lang w:eastAsia="fr-FR"/>
        </w:rPr>
        <w:t>, entre autre,</w:t>
      </w:r>
      <w:r w:rsidR="001F231E">
        <w:rPr>
          <w:rFonts w:ascii="Arial" w:eastAsia="Times New Roman" w:hAnsi="Arial" w:cs="Arial"/>
          <w:color w:val="000000"/>
          <w:sz w:val="19"/>
          <w:szCs w:val="19"/>
          <w:lang w:eastAsia="fr-FR"/>
        </w:rPr>
        <w:t xml:space="preserve"> </w:t>
      </w:r>
      <w:r w:rsidR="00334BC8">
        <w:rPr>
          <w:rFonts w:ascii="Arial" w:eastAsia="Times New Roman" w:hAnsi="Arial" w:cs="Arial"/>
          <w:color w:val="000000"/>
          <w:sz w:val="19"/>
          <w:szCs w:val="19"/>
          <w:lang w:eastAsia="fr-FR"/>
        </w:rPr>
        <w:t>que l’article L</w:t>
      </w:r>
      <w:r w:rsidR="005B35FB">
        <w:rPr>
          <w:rFonts w:ascii="Arial" w:eastAsia="Times New Roman" w:hAnsi="Arial" w:cs="Arial"/>
          <w:color w:val="000000"/>
          <w:sz w:val="19"/>
          <w:szCs w:val="19"/>
          <w:lang w:eastAsia="fr-FR"/>
        </w:rPr>
        <w:t>.</w:t>
      </w:r>
      <w:r w:rsidR="00334BC8">
        <w:rPr>
          <w:rFonts w:ascii="Arial" w:eastAsia="Times New Roman" w:hAnsi="Arial" w:cs="Arial"/>
          <w:color w:val="000000"/>
          <w:sz w:val="19"/>
          <w:szCs w:val="19"/>
          <w:lang w:eastAsia="fr-FR"/>
        </w:rPr>
        <w:t xml:space="preserve">5 du code électoral était contraire à la Convention relative aux droits des personnes handicapées, ratifiée par la France en 2010. Elle plaide </w:t>
      </w:r>
      <w:r w:rsidRPr="00F97B53">
        <w:rPr>
          <w:rFonts w:ascii="Arial" w:eastAsia="Times New Roman" w:hAnsi="Arial" w:cs="Arial"/>
          <w:color w:val="000000"/>
          <w:sz w:val="19"/>
          <w:szCs w:val="19"/>
          <w:lang w:eastAsia="fr-FR"/>
        </w:rPr>
        <w:t>pour que le juge ne puisse plus priver</w:t>
      </w:r>
      <w:r w:rsidR="00127F2E" w:rsidRPr="00F97B53">
        <w:rPr>
          <w:rFonts w:ascii="Arial" w:eastAsia="Times New Roman" w:hAnsi="Arial" w:cs="Arial"/>
          <w:color w:val="000000"/>
          <w:sz w:val="19"/>
          <w:szCs w:val="19"/>
          <w:lang w:eastAsia="fr-FR"/>
        </w:rPr>
        <w:t xml:space="preserve"> de droit de vote l</w:t>
      </w:r>
      <w:r w:rsidRPr="00F97B53">
        <w:rPr>
          <w:rFonts w:ascii="Arial" w:eastAsia="Times New Roman" w:hAnsi="Arial" w:cs="Arial"/>
          <w:color w:val="000000"/>
          <w:sz w:val="19"/>
          <w:szCs w:val="19"/>
          <w:lang w:eastAsia="fr-FR"/>
        </w:rPr>
        <w:t xml:space="preserve">es personnes en situation de handicap, notamment </w:t>
      </w:r>
      <w:r w:rsidR="00127F2E" w:rsidRPr="00F97B53">
        <w:rPr>
          <w:rFonts w:ascii="Arial" w:eastAsia="Times New Roman" w:hAnsi="Arial" w:cs="Arial"/>
          <w:color w:val="000000"/>
          <w:sz w:val="19"/>
          <w:szCs w:val="19"/>
          <w:lang w:eastAsia="fr-FR"/>
        </w:rPr>
        <w:t xml:space="preserve">mental et psychique en martelant que </w:t>
      </w:r>
      <w:r w:rsidR="00127F2E" w:rsidRPr="00F97B53">
        <w:rPr>
          <w:rFonts w:ascii="Arial" w:eastAsia="Times New Roman" w:hAnsi="Arial" w:cs="Arial"/>
          <w:i/>
          <w:color w:val="000000"/>
          <w:sz w:val="19"/>
          <w:szCs w:val="19"/>
          <w:lang w:eastAsia="fr-FR"/>
        </w:rPr>
        <w:t>« Voter est un droit, pas un privilège »</w:t>
      </w:r>
      <w:r w:rsidR="00F97B53">
        <w:rPr>
          <w:rFonts w:ascii="Arial" w:eastAsia="Times New Roman" w:hAnsi="Arial" w:cs="Arial"/>
          <w:i/>
          <w:color w:val="000000"/>
          <w:sz w:val="19"/>
          <w:szCs w:val="19"/>
          <w:lang w:eastAsia="fr-FR"/>
        </w:rPr>
        <w:t>.</w:t>
      </w:r>
    </w:p>
    <w:p w:rsidR="002F36A4" w:rsidRDefault="002F36A4" w:rsidP="002F36A4">
      <w:pPr>
        <w:shd w:val="clear" w:color="auto" w:fill="FFFFFF"/>
        <w:spacing w:after="0" w:line="336" w:lineRule="atLeast"/>
        <w:ind w:left="60"/>
        <w:jc w:val="both"/>
        <w:textAlignment w:val="baseline"/>
        <w:rPr>
          <w:rFonts w:ascii="Arial" w:eastAsia="Times New Roman" w:hAnsi="Arial" w:cs="Arial"/>
          <w:color w:val="000000"/>
          <w:sz w:val="19"/>
          <w:szCs w:val="19"/>
          <w:lang w:eastAsia="fr-FR"/>
        </w:rPr>
      </w:pPr>
    </w:p>
    <w:p w:rsidR="00983E3D" w:rsidRDefault="005A3974" w:rsidP="002F36A4">
      <w:pPr>
        <w:shd w:val="clear" w:color="auto" w:fill="FFFFFF"/>
        <w:spacing w:after="0" w:line="336" w:lineRule="atLeast"/>
        <w:ind w:left="60"/>
        <w:jc w:val="both"/>
        <w:textAlignment w:val="baseline"/>
        <w:rPr>
          <w:rFonts w:ascii="Arial" w:eastAsia="Times New Roman" w:hAnsi="Arial" w:cs="Arial"/>
          <w:color w:val="000000"/>
          <w:sz w:val="19"/>
          <w:szCs w:val="19"/>
          <w:lang w:eastAsia="fr-FR"/>
        </w:rPr>
      </w:pPr>
      <w:r w:rsidRPr="005A3974">
        <w:rPr>
          <w:rFonts w:ascii="Arial" w:eastAsia="Times New Roman" w:hAnsi="Arial" w:cs="Arial"/>
          <w:color w:val="000000"/>
          <w:sz w:val="19"/>
          <w:szCs w:val="19"/>
          <w:lang w:eastAsia="fr-FR"/>
        </w:rPr>
        <w:t>La CNCDH fait valoir qu’</w:t>
      </w:r>
      <w:r w:rsidR="00983E3D" w:rsidRPr="005A3974">
        <w:rPr>
          <w:rFonts w:ascii="Arial" w:eastAsia="Times New Roman" w:hAnsi="Arial" w:cs="Arial"/>
          <w:color w:val="000000"/>
          <w:sz w:val="19"/>
          <w:szCs w:val="19"/>
          <w:lang w:eastAsia="fr-FR"/>
        </w:rPr>
        <w:t>« </w:t>
      </w:r>
      <w:r w:rsidR="00983E3D" w:rsidRPr="005A3974">
        <w:rPr>
          <w:rFonts w:ascii="Arial" w:eastAsia="Times New Roman" w:hAnsi="Arial" w:cs="Arial"/>
          <w:i/>
          <w:iCs/>
          <w:color w:val="000000"/>
          <w:sz w:val="19"/>
          <w:szCs w:val="19"/>
          <w:bdr w:val="none" w:sz="0" w:space="0" w:color="auto" w:frame="1"/>
          <w:lang w:eastAsia="fr-FR"/>
        </w:rPr>
        <w:t>On ne peut pas d'un côté affirmer que les personnes handicapées sont des citoyens comme les autres et, de l'autre, leur retirer l'attribut le plus emblématique de la citoyenneté</w:t>
      </w:r>
      <w:r w:rsidR="00983E3D" w:rsidRPr="005A3974">
        <w:rPr>
          <w:rFonts w:ascii="Arial" w:eastAsia="Times New Roman" w:hAnsi="Arial" w:cs="Arial"/>
          <w:color w:val="000000"/>
          <w:sz w:val="19"/>
          <w:szCs w:val="19"/>
          <w:lang w:eastAsia="fr-FR"/>
        </w:rPr>
        <w:t> </w:t>
      </w:r>
      <w:proofErr w:type="gramStart"/>
      <w:r w:rsidR="00983E3D" w:rsidRPr="005A3974">
        <w:rPr>
          <w:rFonts w:ascii="Arial" w:eastAsia="Times New Roman" w:hAnsi="Arial" w:cs="Arial"/>
          <w:color w:val="000000"/>
          <w:sz w:val="19"/>
          <w:szCs w:val="19"/>
          <w:lang w:eastAsia="fr-FR"/>
        </w:rPr>
        <w:t>»</w:t>
      </w:r>
      <w:r w:rsidR="00814141">
        <w:rPr>
          <w:rFonts w:ascii="Arial" w:eastAsia="Times New Roman" w:hAnsi="Arial" w:cs="Arial"/>
          <w:color w:val="000000"/>
          <w:sz w:val="19"/>
          <w:szCs w:val="19"/>
          <w:lang w:eastAsia="fr-FR"/>
        </w:rPr>
        <w:t> ,</w:t>
      </w:r>
      <w:proofErr w:type="gramEnd"/>
      <w:r w:rsidR="00814141">
        <w:rPr>
          <w:rFonts w:ascii="Arial" w:eastAsia="Times New Roman" w:hAnsi="Arial" w:cs="Arial"/>
          <w:color w:val="000000"/>
          <w:sz w:val="19"/>
          <w:szCs w:val="19"/>
          <w:lang w:eastAsia="fr-FR"/>
        </w:rPr>
        <w:t xml:space="preserve"> déplorant que les décisions de retirer le droit de vote soient laissées </w:t>
      </w:r>
      <w:r w:rsidR="00B21736">
        <w:rPr>
          <w:rFonts w:ascii="Arial" w:eastAsia="Times New Roman" w:hAnsi="Arial" w:cs="Arial"/>
          <w:color w:val="000000"/>
          <w:sz w:val="19"/>
          <w:szCs w:val="19"/>
          <w:lang w:eastAsia="fr-FR"/>
        </w:rPr>
        <w:t>à l’appréciation du juge et ne reposent que sur des critères prédéterminés.</w:t>
      </w:r>
    </w:p>
    <w:p w:rsidR="002F36A4" w:rsidRDefault="002F36A4" w:rsidP="002F36A4">
      <w:pPr>
        <w:shd w:val="clear" w:color="auto" w:fill="FFFFFF"/>
        <w:spacing w:after="0" w:line="336" w:lineRule="atLeast"/>
        <w:ind w:left="60"/>
        <w:jc w:val="both"/>
        <w:textAlignment w:val="baseline"/>
        <w:rPr>
          <w:rFonts w:ascii="Arial" w:eastAsia="Times New Roman" w:hAnsi="Arial" w:cs="Arial"/>
          <w:color w:val="000000"/>
          <w:sz w:val="19"/>
          <w:szCs w:val="19"/>
          <w:lang w:eastAsia="fr-FR"/>
        </w:rPr>
      </w:pPr>
    </w:p>
    <w:p w:rsidR="00B21736" w:rsidRDefault="00B21736" w:rsidP="002F36A4">
      <w:pPr>
        <w:shd w:val="clear" w:color="auto" w:fill="FFFFFF"/>
        <w:spacing w:after="0" w:line="336" w:lineRule="atLeast"/>
        <w:ind w:left="60"/>
        <w:jc w:val="both"/>
        <w:textAlignment w:val="baseline"/>
        <w:rPr>
          <w:rFonts w:ascii="Arial" w:eastAsia="Times New Roman" w:hAnsi="Arial" w:cs="Arial"/>
          <w:color w:val="000000"/>
          <w:sz w:val="19"/>
          <w:szCs w:val="19"/>
          <w:lang w:eastAsia="fr-FR"/>
        </w:rPr>
      </w:pPr>
      <w:r>
        <w:rPr>
          <w:rFonts w:ascii="Arial" w:eastAsia="Times New Roman" w:hAnsi="Arial" w:cs="Arial"/>
          <w:color w:val="000000"/>
          <w:sz w:val="19"/>
          <w:szCs w:val="19"/>
          <w:lang w:eastAsia="fr-FR"/>
        </w:rPr>
        <w:t xml:space="preserve">L’Association nationale des juges d’instance qui plaide pour le </w:t>
      </w:r>
      <w:r w:rsidRPr="00B21736">
        <w:rPr>
          <w:rFonts w:ascii="Arial" w:eastAsia="Times New Roman" w:hAnsi="Arial" w:cs="Arial"/>
          <w:i/>
          <w:color w:val="000000"/>
          <w:sz w:val="19"/>
          <w:szCs w:val="19"/>
          <w:lang w:eastAsia="fr-FR"/>
        </w:rPr>
        <w:t>statu quo</w:t>
      </w:r>
      <w:r>
        <w:rPr>
          <w:rFonts w:ascii="Arial" w:eastAsia="Times New Roman" w:hAnsi="Arial" w:cs="Arial"/>
          <w:color w:val="000000"/>
          <w:sz w:val="19"/>
          <w:szCs w:val="19"/>
          <w:lang w:eastAsia="fr-FR"/>
        </w:rPr>
        <w:t xml:space="preserve"> invoque le risque que les personnes sous tutelle soient manipulées par leur entourage, et perd</w:t>
      </w:r>
      <w:r w:rsidR="005B35FB">
        <w:rPr>
          <w:rFonts w:ascii="Arial" w:eastAsia="Times New Roman" w:hAnsi="Arial" w:cs="Arial"/>
          <w:color w:val="000000"/>
          <w:sz w:val="19"/>
          <w:szCs w:val="19"/>
          <w:lang w:eastAsia="fr-FR"/>
        </w:rPr>
        <w:t>ent</w:t>
      </w:r>
      <w:r>
        <w:rPr>
          <w:rFonts w:ascii="Arial" w:eastAsia="Times New Roman" w:hAnsi="Arial" w:cs="Arial"/>
          <w:color w:val="000000"/>
          <w:sz w:val="19"/>
          <w:szCs w:val="19"/>
          <w:lang w:eastAsia="fr-FR"/>
        </w:rPr>
        <w:t xml:space="preserve"> ainsi le caractère indépendant et personnel du vote. </w:t>
      </w:r>
    </w:p>
    <w:p w:rsidR="002F36A4" w:rsidRDefault="002F36A4" w:rsidP="002F36A4">
      <w:pPr>
        <w:shd w:val="clear" w:color="auto" w:fill="FFFFFF"/>
        <w:spacing w:after="0" w:line="336" w:lineRule="atLeast"/>
        <w:ind w:left="60"/>
        <w:jc w:val="both"/>
        <w:textAlignment w:val="baseline"/>
        <w:rPr>
          <w:rFonts w:ascii="Arial" w:eastAsia="Times New Roman" w:hAnsi="Arial" w:cs="Arial"/>
          <w:color w:val="000000"/>
          <w:sz w:val="19"/>
          <w:szCs w:val="19"/>
          <w:lang w:eastAsia="fr-FR"/>
        </w:rPr>
      </w:pPr>
    </w:p>
    <w:p w:rsidR="00B21736" w:rsidRDefault="00174D8B" w:rsidP="002F36A4">
      <w:pPr>
        <w:shd w:val="clear" w:color="auto" w:fill="FFFFFF"/>
        <w:spacing w:after="0" w:line="336" w:lineRule="atLeast"/>
        <w:ind w:left="60"/>
        <w:jc w:val="both"/>
        <w:textAlignment w:val="baseline"/>
        <w:rPr>
          <w:rFonts w:ascii="Arial" w:eastAsia="Times New Roman" w:hAnsi="Arial" w:cs="Arial"/>
          <w:color w:val="000000"/>
          <w:sz w:val="19"/>
          <w:szCs w:val="19"/>
          <w:lang w:eastAsia="fr-FR"/>
        </w:rPr>
      </w:pPr>
      <w:r>
        <w:rPr>
          <w:rFonts w:ascii="Arial" w:eastAsia="Times New Roman" w:hAnsi="Arial" w:cs="Arial"/>
          <w:color w:val="000000"/>
          <w:sz w:val="19"/>
          <w:szCs w:val="19"/>
          <w:lang w:eastAsia="fr-FR"/>
        </w:rPr>
        <w:t>En réponse, la CN</w:t>
      </w:r>
      <w:r w:rsidR="008B1324">
        <w:rPr>
          <w:rFonts w:ascii="Arial" w:eastAsia="Times New Roman" w:hAnsi="Arial" w:cs="Arial"/>
          <w:color w:val="000000"/>
          <w:sz w:val="19"/>
          <w:szCs w:val="19"/>
          <w:lang w:eastAsia="fr-FR"/>
        </w:rPr>
        <w:t>C</w:t>
      </w:r>
      <w:r>
        <w:rPr>
          <w:rFonts w:ascii="Arial" w:eastAsia="Times New Roman" w:hAnsi="Arial" w:cs="Arial"/>
          <w:color w:val="000000"/>
          <w:sz w:val="19"/>
          <w:szCs w:val="19"/>
          <w:lang w:eastAsia="fr-FR"/>
        </w:rPr>
        <w:t>DH rappelle que la notion d’</w:t>
      </w:r>
      <w:r w:rsidRPr="00174D8B">
        <w:rPr>
          <w:rFonts w:ascii="Arial" w:eastAsia="Times New Roman" w:hAnsi="Arial" w:cs="Arial"/>
          <w:i/>
          <w:color w:val="000000"/>
          <w:sz w:val="19"/>
          <w:szCs w:val="19"/>
          <w:lang w:eastAsia="fr-FR"/>
        </w:rPr>
        <w:t>« influençabilité »</w:t>
      </w:r>
      <w:r>
        <w:rPr>
          <w:rFonts w:ascii="Arial" w:eastAsia="Times New Roman" w:hAnsi="Arial" w:cs="Arial"/>
          <w:color w:val="000000"/>
          <w:sz w:val="19"/>
          <w:szCs w:val="19"/>
          <w:lang w:eastAsia="fr-FR"/>
        </w:rPr>
        <w:t xml:space="preserve"> n’est </w:t>
      </w:r>
      <w:r w:rsidR="002E5DA9">
        <w:rPr>
          <w:rFonts w:ascii="Arial" w:eastAsia="Times New Roman" w:hAnsi="Arial" w:cs="Arial"/>
          <w:color w:val="000000"/>
          <w:sz w:val="19"/>
          <w:szCs w:val="19"/>
          <w:lang w:eastAsia="fr-FR"/>
        </w:rPr>
        <w:t xml:space="preserve">pas opportune, prenant exemple </w:t>
      </w:r>
      <w:r>
        <w:rPr>
          <w:rFonts w:ascii="Arial" w:eastAsia="Times New Roman" w:hAnsi="Arial" w:cs="Arial"/>
          <w:color w:val="000000"/>
          <w:sz w:val="19"/>
          <w:szCs w:val="19"/>
          <w:lang w:eastAsia="fr-FR"/>
        </w:rPr>
        <w:t xml:space="preserve">sur d’autres pays dans lesquels le droit de vote n’est pas retiré au motif de l’incapacité intellectuelle ou psychique. </w:t>
      </w:r>
    </w:p>
    <w:p w:rsidR="008B1324" w:rsidRDefault="008B1324" w:rsidP="002F36A4">
      <w:pPr>
        <w:shd w:val="clear" w:color="auto" w:fill="FFFFFF"/>
        <w:spacing w:after="0" w:line="336" w:lineRule="atLeast"/>
        <w:ind w:left="60"/>
        <w:jc w:val="both"/>
        <w:textAlignment w:val="baseline"/>
        <w:rPr>
          <w:rFonts w:ascii="Arial" w:eastAsia="Times New Roman" w:hAnsi="Arial" w:cs="Arial"/>
          <w:color w:val="000000"/>
          <w:lang w:eastAsia="fr-FR"/>
        </w:rPr>
      </w:pPr>
    </w:p>
    <w:p w:rsidR="00A67675" w:rsidRDefault="00A67675" w:rsidP="00A67675">
      <w:pPr>
        <w:shd w:val="clear" w:color="auto" w:fill="FFFFFF"/>
        <w:spacing w:after="0" w:line="336" w:lineRule="atLeast"/>
        <w:ind w:left="3600"/>
        <w:textAlignment w:val="baseline"/>
        <w:rPr>
          <w:rFonts w:ascii="Arial" w:eastAsia="Times New Roman" w:hAnsi="Arial" w:cs="Arial"/>
          <w:color w:val="000000"/>
          <w:sz w:val="19"/>
          <w:szCs w:val="19"/>
          <w:lang w:eastAsia="fr-FR"/>
        </w:rPr>
      </w:pPr>
      <w:r>
        <w:rPr>
          <w:rFonts w:ascii="Arial" w:eastAsia="Times New Roman" w:hAnsi="Arial" w:cs="Arial"/>
          <w:color w:val="000000"/>
          <w:sz w:val="19"/>
          <w:szCs w:val="19"/>
          <w:lang w:eastAsia="fr-FR"/>
        </w:rPr>
        <w:t xml:space="preserve">         ****</w:t>
      </w:r>
    </w:p>
    <w:p w:rsidR="00A67675" w:rsidRDefault="00A67675" w:rsidP="008B1324">
      <w:pPr>
        <w:shd w:val="clear" w:color="auto" w:fill="FFFFFF"/>
        <w:spacing w:after="0" w:line="336" w:lineRule="atLeast"/>
        <w:ind w:left="60"/>
        <w:jc w:val="both"/>
        <w:textAlignment w:val="baseline"/>
        <w:rPr>
          <w:rFonts w:ascii="Arial" w:eastAsia="Times New Roman" w:hAnsi="Arial" w:cs="Arial"/>
          <w:color w:val="000000"/>
          <w:sz w:val="19"/>
          <w:szCs w:val="19"/>
          <w:lang w:eastAsia="fr-FR"/>
        </w:rPr>
      </w:pPr>
    </w:p>
    <w:p w:rsidR="00E869FF" w:rsidRPr="002E5DA9" w:rsidRDefault="008B1324" w:rsidP="008B1324">
      <w:pPr>
        <w:shd w:val="clear" w:color="auto" w:fill="FFFFFF"/>
        <w:spacing w:after="0" w:line="336" w:lineRule="atLeast"/>
        <w:ind w:left="60"/>
        <w:jc w:val="both"/>
        <w:textAlignment w:val="baseline"/>
        <w:rPr>
          <w:rFonts w:ascii="Arial" w:eastAsia="Times New Roman" w:hAnsi="Arial" w:cs="Arial"/>
          <w:color w:val="000000"/>
          <w:sz w:val="19"/>
          <w:szCs w:val="19"/>
          <w:lang w:eastAsia="fr-FR"/>
        </w:rPr>
      </w:pPr>
      <w:r w:rsidRPr="008B1324">
        <w:rPr>
          <w:rFonts w:ascii="Arial" w:eastAsia="Times New Roman" w:hAnsi="Arial" w:cs="Arial"/>
          <w:color w:val="000000"/>
          <w:sz w:val="19"/>
          <w:szCs w:val="19"/>
          <w:lang w:eastAsia="fr-FR"/>
        </w:rPr>
        <w:t>Les statistiques manquent mais 700 000 majeurs font actuellement l'objet d'une mesure de protection, dont environ 350 000 sont sous tutelle.</w:t>
      </w:r>
      <w:r w:rsidR="002E5DA9" w:rsidRPr="002E5DA9">
        <w:rPr>
          <w:rFonts w:ascii="Helvetica" w:hAnsi="Helvetica"/>
          <w:color w:val="000000"/>
          <w:shd w:val="clear" w:color="auto" w:fill="FFFFFF"/>
        </w:rPr>
        <w:t xml:space="preserve"> </w:t>
      </w:r>
      <w:r w:rsidR="002E5DA9">
        <w:rPr>
          <w:rFonts w:ascii="Helvetica" w:hAnsi="Helvetica"/>
          <w:color w:val="000000"/>
          <w:shd w:val="clear" w:color="auto" w:fill="FFFFFF"/>
        </w:rPr>
        <w:t> </w:t>
      </w:r>
      <w:r w:rsidR="002E5DA9" w:rsidRPr="002E5DA9">
        <w:rPr>
          <w:rFonts w:ascii="Arial" w:hAnsi="Arial" w:cs="Arial"/>
          <w:color w:val="000000"/>
          <w:sz w:val="19"/>
          <w:szCs w:val="19"/>
          <w:shd w:val="clear" w:color="auto" w:fill="FFFFFF"/>
        </w:rPr>
        <w:t xml:space="preserve"> Entre un quart et un tiers de ceux-là sont privés de leur droit de vote par un juge</w:t>
      </w:r>
      <w:r w:rsidR="005B35FB">
        <w:rPr>
          <w:rFonts w:ascii="Arial" w:hAnsi="Arial" w:cs="Arial"/>
          <w:color w:val="000000"/>
          <w:sz w:val="19"/>
          <w:szCs w:val="19"/>
          <w:shd w:val="clear" w:color="auto" w:fill="FFFFFF"/>
        </w:rPr>
        <w:t>.</w:t>
      </w:r>
      <w:r w:rsidRPr="002E5DA9">
        <w:rPr>
          <w:rFonts w:ascii="Arial" w:eastAsia="Times New Roman" w:hAnsi="Arial" w:cs="Arial"/>
          <w:color w:val="000000"/>
          <w:sz w:val="19"/>
          <w:szCs w:val="19"/>
          <w:lang w:eastAsia="fr-FR"/>
        </w:rPr>
        <w:t xml:space="preserve"> Plusieurs dizaines de milliers de personnes seraient concernées.</w:t>
      </w:r>
    </w:p>
    <w:p w:rsidR="00A67675" w:rsidRDefault="00A67675" w:rsidP="008B1324">
      <w:pPr>
        <w:shd w:val="clear" w:color="auto" w:fill="FFFFFF"/>
        <w:spacing w:after="0" w:line="336" w:lineRule="atLeast"/>
        <w:ind w:left="60"/>
        <w:jc w:val="both"/>
        <w:textAlignment w:val="baseline"/>
        <w:rPr>
          <w:rFonts w:ascii="Arial" w:eastAsia="Times New Roman" w:hAnsi="Arial" w:cs="Arial"/>
          <w:color w:val="000000"/>
          <w:sz w:val="19"/>
          <w:szCs w:val="19"/>
          <w:lang w:eastAsia="fr-FR"/>
        </w:rPr>
      </w:pPr>
    </w:p>
    <w:p w:rsidR="008B1324" w:rsidRPr="008B1324" w:rsidRDefault="008B1324" w:rsidP="008B1324">
      <w:pPr>
        <w:shd w:val="clear" w:color="auto" w:fill="FFFFFF"/>
        <w:spacing w:after="0" w:line="336" w:lineRule="atLeast"/>
        <w:ind w:left="60"/>
        <w:jc w:val="both"/>
        <w:textAlignment w:val="baseline"/>
        <w:rPr>
          <w:rFonts w:ascii="Arial" w:eastAsia="Times New Roman" w:hAnsi="Arial" w:cs="Arial"/>
          <w:color w:val="000000"/>
          <w:sz w:val="19"/>
          <w:szCs w:val="19"/>
          <w:lang w:eastAsia="fr-FR"/>
        </w:rPr>
      </w:pPr>
      <w:r>
        <w:rPr>
          <w:rFonts w:ascii="Arial" w:eastAsia="Times New Roman" w:hAnsi="Arial" w:cs="Arial"/>
          <w:color w:val="000000"/>
          <w:sz w:val="19"/>
          <w:szCs w:val="19"/>
          <w:lang w:eastAsia="fr-FR"/>
        </w:rPr>
        <w:t>A ce jour, malgré les recommandations de la CNCDH, l’article L.5 du Code électoral n’a pas été abrogé</w:t>
      </w:r>
      <w:r w:rsidR="002E5DA9">
        <w:rPr>
          <w:rFonts w:ascii="Arial" w:eastAsia="Times New Roman" w:hAnsi="Arial" w:cs="Arial"/>
          <w:color w:val="000000"/>
          <w:sz w:val="19"/>
          <w:szCs w:val="19"/>
          <w:lang w:eastAsia="fr-FR"/>
        </w:rPr>
        <w:t xml:space="preserve"> et ces personnes font toujours l’objet de cette mesure d’exclusion, laissée à la discrétion du juge</w:t>
      </w:r>
      <w:r>
        <w:rPr>
          <w:rFonts w:ascii="Arial" w:eastAsia="Times New Roman" w:hAnsi="Arial" w:cs="Arial"/>
          <w:color w:val="000000"/>
          <w:sz w:val="19"/>
          <w:szCs w:val="19"/>
          <w:lang w:eastAsia="fr-FR"/>
        </w:rPr>
        <w:t>.</w:t>
      </w:r>
    </w:p>
    <w:sectPr w:rsidR="008B1324" w:rsidRPr="008B1324" w:rsidSect="008968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F1D6F"/>
    <w:multiLevelType w:val="hybridMultilevel"/>
    <w:tmpl w:val="BFBC3834"/>
    <w:lvl w:ilvl="0" w:tplc="856881F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2ED4DEB"/>
    <w:multiLevelType w:val="hybridMultilevel"/>
    <w:tmpl w:val="88B63B90"/>
    <w:lvl w:ilvl="0" w:tplc="702CEAD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8A04B33"/>
    <w:multiLevelType w:val="multilevel"/>
    <w:tmpl w:val="371E0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285BAA"/>
    <w:multiLevelType w:val="hybridMultilevel"/>
    <w:tmpl w:val="B4141712"/>
    <w:lvl w:ilvl="0" w:tplc="EA2AF3C6">
      <w:numFmt w:val="bullet"/>
      <w:lvlText w:val="-"/>
      <w:lvlJc w:val="left"/>
      <w:pPr>
        <w:ind w:left="720" w:hanging="360"/>
      </w:pPr>
      <w:rPr>
        <w:rFonts w:ascii="Calibri" w:eastAsiaTheme="minorHAnsi" w:hAnsi="Calibri" w:cs="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1AF0C3A"/>
    <w:multiLevelType w:val="hybridMultilevel"/>
    <w:tmpl w:val="039A9F9E"/>
    <w:lvl w:ilvl="0" w:tplc="71CAC4A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975"/>
    <w:rsid w:val="00032C2C"/>
    <w:rsid w:val="00040492"/>
    <w:rsid w:val="00044C9D"/>
    <w:rsid w:val="000463F8"/>
    <w:rsid w:val="0006676A"/>
    <w:rsid w:val="00092AE9"/>
    <w:rsid w:val="000A0BCD"/>
    <w:rsid w:val="000A5D3A"/>
    <w:rsid w:val="000B2E0F"/>
    <w:rsid w:val="000C5780"/>
    <w:rsid w:val="000E56B9"/>
    <w:rsid w:val="000E74C0"/>
    <w:rsid w:val="00120314"/>
    <w:rsid w:val="00127F2E"/>
    <w:rsid w:val="001475BA"/>
    <w:rsid w:val="00174D8B"/>
    <w:rsid w:val="001A0DCC"/>
    <w:rsid w:val="001B443D"/>
    <w:rsid w:val="001F231E"/>
    <w:rsid w:val="00203D32"/>
    <w:rsid w:val="002313B8"/>
    <w:rsid w:val="002C6E53"/>
    <w:rsid w:val="002E5DA9"/>
    <w:rsid w:val="002F36A4"/>
    <w:rsid w:val="00334BC8"/>
    <w:rsid w:val="0034212C"/>
    <w:rsid w:val="00347C4C"/>
    <w:rsid w:val="0046476C"/>
    <w:rsid w:val="00481E36"/>
    <w:rsid w:val="00486271"/>
    <w:rsid w:val="004977B6"/>
    <w:rsid w:val="005115C6"/>
    <w:rsid w:val="00524DD9"/>
    <w:rsid w:val="00526238"/>
    <w:rsid w:val="005711FD"/>
    <w:rsid w:val="005A3974"/>
    <w:rsid w:val="005B124D"/>
    <w:rsid w:val="005B35FB"/>
    <w:rsid w:val="00607303"/>
    <w:rsid w:val="00611C6F"/>
    <w:rsid w:val="006667FA"/>
    <w:rsid w:val="006C244B"/>
    <w:rsid w:val="006E2AF8"/>
    <w:rsid w:val="0071261E"/>
    <w:rsid w:val="007435B5"/>
    <w:rsid w:val="007B0234"/>
    <w:rsid w:val="007D241D"/>
    <w:rsid w:val="007D7D0D"/>
    <w:rsid w:val="00814141"/>
    <w:rsid w:val="00816D43"/>
    <w:rsid w:val="00896895"/>
    <w:rsid w:val="00897E4B"/>
    <w:rsid w:val="008B0975"/>
    <w:rsid w:val="008B1324"/>
    <w:rsid w:val="008B1DD0"/>
    <w:rsid w:val="00905E94"/>
    <w:rsid w:val="009337A6"/>
    <w:rsid w:val="009345FD"/>
    <w:rsid w:val="00940E8B"/>
    <w:rsid w:val="00944A9A"/>
    <w:rsid w:val="009716A1"/>
    <w:rsid w:val="00983E3D"/>
    <w:rsid w:val="009A02E4"/>
    <w:rsid w:val="009D0B61"/>
    <w:rsid w:val="00A222FD"/>
    <w:rsid w:val="00A24919"/>
    <w:rsid w:val="00A2638B"/>
    <w:rsid w:val="00A44394"/>
    <w:rsid w:val="00A67675"/>
    <w:rsid w:val="00A72AC2"/>
    <w:rsid w:val="00AB7F5C"/>
    <w:rsid w:val="00B21736"/>
    <w:rsid w:val="00B33F08"/>
    <w:rsid w:val="00BE39E7"/>
    <w:rsid w:val="00C32380"/>
    <w:rsid w:val="00C55D87"/>
    <w:rsid w:val="00CB6C38"/>
    <w:rsid w:val="00CE10A3"/>
    <w:rsid w:val="00D40926"/>
    <w:rsid w:val="00D534B7"/>
    <w:rsid w:val="00D5711C"/>
    <w:rsid w:val="00E00A24"/>
    <w:rsid w:val="00E0400E"/>
    <w:rsid w:val="00E24C7A"/>
    <w:rsid w:val="00E869FF"/>
    <w:rsid w:val="00ED1F7D"/>
    <w:rsid w:val="00F03A55"/>
    <w:rsid w:val="00F33984"/>
    <w:rsid w:val="00F97B53"/>
    <w:rsid w:val="00FF31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89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1">
    <w:name w:val="p1"/>
    <w:basedOn w:val="Normal"/>
    <w:rsid w:val="00A44394"/>
    <w:pPr>
      <w:spacing w:before="100" w:beforeAutospacing="1" w:after="100" w:afterAutospacing="1" w:line="240" w:lineRule="auto"/>
    </w:pPr>
    <w:rPr>
      <w:rFonts w:ascii="Times New Roman" w:hAnsi="Times New Roman" w:cs="Times New Roman"/>
      <w:sz w:val="24"/>
      <w:szCs w:val="24"/>
      <w:lang w:eastAsia="fr-FR"/>
    </w:rPr>
  </w:style>
  <w:style w:type="paragraph" w:customStyle="1" w:styleId="p2">
    <w:name w:val="p2"/>
    <w:basedOn w:val="Normal"/>
    <w:rsid w:val="00A44394"/>
    <w:pPr>
      <w:spacing w:before="100" w:beforeAutospacing="1" w:after="100" w:afterAutospacing="1" w:line="240" w:lineRule="auto"/>
    </w:pPr>
    <w:rPr>
      <w:rFonts w:ascii="Times New Roman" w:hAnsi="Times New Roman" w:cs="Times New Roman"/>
      <w:sz w:val="24"/>
      <w:szCs w:val="24"/>
      <w:lang w:eastAsia="fr-FR"/>
    </w:rPr>
  </w:style>
  <w:style w:type="character" w:customStyle="1" w:styleId="s1">
    <w:name w:val="s1"/>
    <w:basedOn w:val="Policepardfaut"/>
    <w:rsid w:val="00A44394"/>
  </w:style>
  <w:style w:type="character" w:customStyle="1" w:styleId="apple-converted-space">
    <w:name w:val="apple-converted-space"/>
    <w:basedOn w:val="Policepardfaut"/>
    <w:rsid w:val="00A44394"/>
  </w:style>
  <w:style w:type="paragraph" w:styleId="Paragraphedeliste">
    <w:name w:val="List Paragraph"/>
    <w:basedOn w:val="Normal"/>
    <w:uiPriority w:val="34"/>
    <w:qFormat/>
    <w:rsid w:val="00A72AC2"/>
    <w:pPr>
      <w:ind w:left="720"/>
      <w:contextualSpacing/>
    </w:pPr>
  </w:style>
  <w:style w:type="character" w:styleId="Lienhypertexte">
    <w:name w:val="Hyperlink"/>
    <w:basedOn w:val="Policepardfaut"/>
    <w:uiPriority w:val="99"/>
    <w:unhideWhenUsed/>
    <w:rsid w:val="00092AE9"/>
    <w:rPr>
      <w:color w:val="0000FF" w:themeColor="hyperlink"/>
      <w:u w:val="single"/>
    </w:rPr>
  </w:style>
  <w:style w:type="character" w:customStyle="1" w:styleId="UnresolvedMention">
    <w:name w:val="Unresolved Mention"/>
    <w:basedOn w:val="Policepardfaut"/>
    <w:uiPriority w:val="99"/>
    <w:semiHidden/>
    <w:unhideWhenUsed/>
    <w:rsid w:val="00092AE9"/>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89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1">
    <w:name w:val="p1"/>
    <w:basedOn w:val="Normal"/>
    <w:rsid w:val="00A44394"/>
    <w:pPr>
      <w:spacing w:before="100" w:beforeAutospacing="1" w:after="100" w:afterAutospacing="1" w:line="240" w:lineRule="auto"/>
    </w:pPr>
    <w:rPr>
      <w:rFonts w:ascii="Times New Roman" w:hAnsi="Times New Roman" w:cs="Times New Roman"/>
      <w:sz w:val="24"/>
      <w:szCs w:val="24"/>
      <w:lang w:eastAsia="fr-FR"/>
    </w:rPr>
  </w:style>
  <w:style w:type="paragraph" w:customStyle="1" w:styleId="p2">
    <w:name w:val="p2"/>
    <w:basedOn w:val="Normal"/>
    <w:rsid w:val="00A44394"/>
    <w:pPr>
      <w:spacing w:before="100" w:beforeAutospacing="1" w:after="100" w:afterAutospacing="1" w:line="240" w:lineRule="auto"/>
    </w:pPr>
    <w:rPr>
      <w:rFonts w:ascii="Times New Roman" w:hAnsi="Times New Roman" w:cs="Times New Roman"/>
      <w:sz w:val="24"/>
      <w:szCs w:val="24"/>
      <w:lang w:eastAsia="fr-FR"/>
    </w:rPr>
  </w:style>
  <w:style w:type="character" w:customStyle="1" w:styleId="s1">
    <w:name w:val="s1"/>
    <w:basedOn w:val="Policepardfaut"/>
    <w:rsid w:val="00A44394"/>
  </w:style>
  <w:style w:type="character" w:customStyle="1" w:styleId="apple-converted-space">
    <w:name w:val="apple-converted-space"/>
    <w:basedOn w:val="Policepardfaut"/>
    <w:rsid w:val="00A44394"/>
  </w:style>
  <w:style w:type="paragraph" w:styleId="Paragraphedeliste">
    <w:name w:val="List Paragraph"/>
    <w:basedOn w:val="Normal"/>
    <w:uiPriority w:val="34"/>
    <w:qFormat/>
    <w:rsid w:val="00A72AC2"/>
    <w:pPr>
      <w:ind w:left="720"/>
      <w:contextualSpacing/>
    </w:pPr>
  </w:style>
  <w:style w:type="character" w:styleId="Lienhypertexte">
    <w:name w:val="Hyperlink"/>
    <w:basedOn w:val="Policepardfaut"/>
    <w:uiPriority w:val="99"/>
    <w:unhideWhenUsed/>
    <w:rsid w:val="00092AE9"/>
    <w:rPr>
      <w:color w:val="0000FF" w:themeColor="hyperlink"/>
      <w:u w:val="single"/>
    </w:rPr>
  </w:style>
  <w:style w:type="character" w:customStyle="1" w:styleId="UnresolvedMention">
    <w:name w:val="Unresolved Mention"/>
    <w:basedOn w:val="Policepardfaut"/>
    <w:uiPriority w:val="99"/>
    <w:semiHidden/>
    <w:unhideWhenUsed/>
    <w:rsid w:val="00092AE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384744">
      <w:bodyDiv w:val="1"/>
      <w:marLeft w:val="0"/>
      <w:marRight w:val="0"/>
      <w:marTop w:val="0"/>
      <w:marBottom w:val="0"/>
      <w:divBdr>
        <w:top w:val="none" w:sz="0" w:space="0" w:color="auto"/>
        <w:left w:val="none" w:sz="0" w:space="0" w:color="auto"/>
        <w:bottom w:val="none" w:sz="0" w:space="0" w:color="auto"/>
        <w:right w:val="none" w:sz="0" w:space="0" w:color="auto"/>
      </w:divBdr>
      <w:divsChild>
        <w:div w:id="1729263729">
          <w:marLeft w:val="0"/>
          <w:marRight w:val="0"/>
          <w:marTop w:val="0"/>
          <w:marBottom w:val="0"/>
          <w:divBdr>
            <w:top w:val="none" w:sz="0" w:space="0" w:color="auto"/>
            <w:left w:val="none" w:sz="0" w:space="0" w:color="auto"/>
            <w:bottom w:val="none" w:sz="0" w:space="0" w:color="auto"/>
            <w:right w:val="none" w:sz="0" w:space="0" w:color="auto"/>
          </w:divBdr>
          <w:divsChild>
            <w:div w:id="722484641">
              <w:marLeft w:val="0"/>
              <w:marRight w:val="0"/>
              <w:marTop w:val="0"/>
              <w:marBottom w:val="0"/>
              <w:divBdr>
                <w:top w:val="none" w:sz="0" w:space="0" w:color="auto"/>
                <w:left w:val="none" w:sz="0" w:space="0" w:color="auto"/>
                <w:bottom w:val="none" w:sz="0" w:space="0" w:color="auto"/>
                <w:right w:val="none" w:sz="0" w:space="0" w:color="auto"/>
              </w:divBdr>
              <w:divsChild>
                <w:div w:id="442187358">
                  <w:marLeft w:val="0"/>
                  <w:marRight w:val="0"/>
                  <w:marTop w:val="0"/>
                  <w:marBottom w:val="0"/>
                  <w:divBdr>
                    <w:top w:val="none" w:sz="0" w:space="0" w:color="auto"/>
                    <w:left w:val="none" w:sz="0" w:space="0" w:color="auto"/>
                    <w:bottom w:val="none" w:sz="0" w:space="0" w:color="auto"/>
                    <w:right w:val="none" w:sz="0" w:space="0" w:color="auto"/>
                  </w:divBdr>
                  <w:divsChild>
                    <w:div w:id="650058361">
                      <w:marLeft w:val="0"/>
                      <w:marRight w:val="0"/>
                      <w:marTop w:val="0"/>
                      <w:marBottom w:val="0"/>
                      <w:divBdr>
                        <w:top w:val="none" w:sz="0" w:space="0" w:color="auto"/>
                        <w:left w:val="none" w:sz="0" w:space="0" w:color="auto"/>
                        <w:bottom w:val="none" w:sz="0" w:space="0" w:color="auto"/>
                        <w:right w:val="none" w:sz="0" w:space="0" w:color="auto"/>
                      </w:divBdr>
                      <w:divsChild>
                        <w:div w:id="1413353130">
                          <w:marLeft w:val="0"/>
                          <w:marRight w:val="0"/>
                          <w:marTop w:val="0"/>
                          <w:marBottom w:val="0"/>
                          <w:divBdr>
                            <w:top w:val="none" w:sz="0" w:space="0" w:color="auto"/>
                            <w:left w:val="none" w:sz="0" w:space="0" w:color="auto"/>
                            <w:bottom w:val="none" w:sz="0" w:space="0" w:color="auto"/>
                            <w:right w:val="none" w:sz="0" w:space="0" w:color="auto"/>
                          </w:divBdr>
                          <w:divsChild>
                            <w:div w:id="1443454811">
                              <w:marLeft w:val="0"/>
                              <w:marRight w:val="0"/>
                              <w:marTop w:val="0"/>
                              <w:marBottom w:val="0"/>
                              <w:divBdr>
                                <w:top w:val="none" w:sz="0" w:space="0" w:color="auto"/>
                                <w:left w:val="none" w:sz="0" w:space="0" w:color="auto"/>
                                <w:bottom w:val="none" w:sz="0" w:space="0" w:color="auto"/>
                                <w:right w:val="none" w:sz="0" w:space="0" w:color="auto"/>
                              </w:divBdr>
                              <w:divsChild>
                                <w:div w:id="100506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3654856">
      <w:bodyDiv w:val="1"/>
      <w:marLeft w:val="0"/>
      <w:marRight w:val="0"/>
      <w:marTop w:val="0"/>
      <w:marBottom w:val="0"/>
      <w:divBdr>
        <w:top w:val="none" w:sz="0" w:space="0" w:color="auto"/>
        <w:left w:val="none" w:sz="0" w:space="0" w:color="auto"/>
        <w:bottom w:val="none" w:sz="0" w:space="0" w:color="auto"/>
        <w:right w:val="none" w:sz="0" w:space="0" w:color="auto"/>
      </w:divBdr>
    </w:div>
    <w:div w:id="977952611">
      <w:bodyDiv w:val="1"/>
      <w:marLeft w:val="0"/>
      <w:marRight w:val="0"/>
      <w:marTop w:val="0"/>
      <w:marBottom w:val="0"/>
      <w:divBdr>
        <w:top w:val="none" w:sz="0" w:space="0" w:color="auto"/>
        <w:left w:val="none" w:sz="0" w:space="0" w:color="auto"/>
        <w:bottom w:val="none" w:sz="0" w:space="0" w:color="auto"/>
        <w:right w:val="none" w:sz="0" w:space="0" w:color="auto"/>
      </w:divBdr>
    </w:div>
    <w:div w:id="1547570882">
      <w:bodyDiv w:val="1"/>
      <w:marLeft w:val="0"/>
      <w:marRight w:val="0"/>
      <w:marTop w:val="0"/>
      <w:marBottom w:val="0"/>
      <w:divBdr>
        <w:top w:val="none" w:sz="0" w:space="0" w:color="auto"/>
        <w:left w:val="none" w:sz="0" w:space="0" w:color="auto"/>
        <w:bottom w:val="none" w:sz="0" w:space="0" w:color="auto"/>
        <w:right w:val="none" w:sz="0" w:space="0" w:color="auto"/>
      </w:divBdr>
    </w:div>
    <w:div w:id="192645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yriam.dana@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8EC5334C</Template>
  <TotalTime>0</TotalTime>
  <Pages>4</Pages>
  <Words>1842</Words>
  <Characters>10132</Characters>
  <Application>Microsoft Office Word</Application>
  <DocSecurity>4</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SOCIETE GENERALE</Company>
  <LinksUpToDate>false</LinksUpToDate>
  <CharactersWithSpaces>11951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MYRIAM DANA</dc:creator>
  <cp:lastModifiedBy>COTTIN Stephane</cp:lastModifiedBy>
  <cp:revision>2</cp:revision>
  <dcterms:created xsi:type="dcterms:W3CDTF">2017-11-28T19:17:00Z</dcterms:created>
  <dcterms:modified xsi:type="dcterms:W3CDTF">2017-11-28T19:17:00Z</dcterms:modified>
</cp:coreProperties>
</file>