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w:t>
      </w:r>
      <w:r w:rsidR="003B717E">
        <w:t>7</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7"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8" w:history="1">
        <w:r w:rsidRPr="00B8382D">
          <w:rPr>
            <w:rStyle w:val="Lienhypertexte"/>
            <w:sz w:val="36"/>
            <w:szCs w:val="44"/>
            <w:lang w:val="en-GB"/>
          </w:rPr>
          <w:t>http://www.electoral.fr</w:t>
        </w:r>
      </w:hyperlink>
      <w:r w:rsidRPr="00B8382D">
        <w:rPr>
          <w:lang w:val="en-GB"/>
        </w:rPr>
        <w:t xml:space="preserve"> </w:t>
      </w:r>
    </w:p>
    <w:p w:rsidR="00EA5ADF" w:rsidRPr="00EA5ADF" w:rsidRDefault="00EA5ADF" w:rsidP="00EA5ADF">
      <w:pPr>
        <w:numPr>
          <w:ilvl w:val="0"/>
          <w:numId w:val="1"/>
        </w:numPr>
        <w:jc w:val="both"/>
        <w:rPr>
          <w:rFonts w:ascii="Cambria" w:hAnsi="Cambria"/>
          <w:b/>
          <w:sz w:val="36"/>
        </w:rPr>
      </w:pPr>
      <w:r w:rsidRPr="00EA5ADF">
        <w:rPr>
          <w:rFonts w:ascii="Cambria" w:hAnsi="Cambria"/>
          <w:b/>
          <w:sz w:val="36"/>
        </w:rPr>
        <w:t>Le contentieux électoral non financier : la procédure devant les juges concernés et actualités de la jurisprudence.</w:t>
      </w:r>
    </w:p>
    <w:p w:rsidR="00DD042F" w:rsidRPr="00DD042F" w:rsidRDefault="00DD042F" w:rsidP="00DD042F">
      <w:pPr>
        <w:spacing w:before="100" w:beforeAutospacing="1" w:after="100" w:afterAutospacing="1"/>
        <w:outlineLvl w:val="1"/>
        <w:rPr>
          <w:b/>
          <w:bCs/>
          <w:sz w:val="36"/>
          <w:szCs w:val="36"/>
          <w:lang w:eastAsia="fr-FR"/>
        </w:rPr>
      </w:pPr>
      <w:r w:rsidRPr="00DD042F">
        <w:rPr>
          <w:b/>
          <w:bCs/>
          <w:sz w:val="36"/>
          <w:szCs w:val="36"/>
          <w:lang w:eastAsia="fr-FR"/>
        </w:rPr>
        <w:t xml:space="preserve">Contentieux des élections municipales de 2014 – Guillaume </w:t>
      </w:r>
      <w:proofErr w:type="spellStart"/>
      <w:r w:rsidRPr="00DD042F">
        <w:rPr>
          <w:b/>
          <w:bCs/>
          <w:sz w:val="36"/>
          <w:szCs w:val="36"/>
          <w:lang w:eastAsia="fr-FR"/>
        </w:rPr>
        <w:t>Odinet</w:t>
      </w:r>
      <w:proofErr w:type="spellEnd"/>
      <w:r w:rsidRPr="00DD042F">
        <w:rPr>
          <w:b/>
          <w:bCs/>
          <w:sz w:val="36"/>
          <w:szCs w:val="36"/>
          <w:lang w:eastAsia="fr-FR"/>
        </w:rPr>
        <w:t xml:space="preserve"> – Louis </w:t>
      </w:r>
      <w:proofErr w:type="spellStart"/>
      <w:r w:rsidRPr="00DD042F">
        <w:rPr>
          <w:b/>
          <w:bCs/>
          <w:sz w:val="36"/>
          <w:szCs w:val="36"/>
          <w:lang w:eastAsia="fr-FR"/>
        </w:rPr>
        <w:t>Dutheillet</w:t>
      </w:r>
      <w:proofErr w:type="spellEnd"/>
      <w:r w:rsidRPr="00DD042F">
        <w:rPr>
          <w:b/>
          <w:bCs/>
          <w:sz w:val="36"/>
          <w:szCs w:val="36"/>
          <w:lang w:eastAsia="fr-FR"/>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p>
              </w:tc>
            </w:tr>
            <w:tr w:rsidR="00DD042F" w:rsidRPr="00DD042F" w:rsidTr="00DD042F">
              <w:trPr>
                <w:tblCellSpacing w:w="0" w:type="dxa"/>
              </w:trPr>
              <w:tc>
                <w:tcPr>
                  <w:tcW w:w="0" w:type="auto"/>
                  <w:vAlign w:val="center"/>
                  <w:hideMark/>
                </w:tcPr>
                <w:p w:rsidR="00DD042F" w:rsidRPr="00DD042F" w:rsidRDefault="00DD042F" w:rsidP="00DD042F">
                  <w:pPr>
                    <w:rPr>
                      <w:sz w:val="20"/>
                      <w:lang w:eastAsia="fr-FR"/>
                    </w:rPr>
                  </w:pPr>
                  <w:r w:rsidRPr="00DD042F">
                    <w:rPr>
                      <w:sz w:val="20"/>
                      <w:lang w:eastAsia="fr-FR"/>
                    </w:rPr>
                    <w:t xml:space="preserve">Guillaume </w:t>
                  </w:r>
                  <w:proofErr w:type="spellStart"/>
                  <w:r w:rsidRPr="00DD042F">
                    <w:rPr>
                      <w:sz w:val="20"/>
                      <w:lang w:eastAsia="fr-FR"/>
                    </w:rPr>
                    <w:t>Odinet</w:t>
                  </w:r>
                  <w:proofErr w:type="spellEnd"/>
                  <w:r w:rsidRPr="00DD042F">
                    <w:rPr>
                      <w:sz w:val="20"/>
                      <w:lang w:eastAsia="fr-FR"/>
                    </w:rPr>
                    <w:t>, Maître des requêtes au Conseil d'Etat, responsable du centre de recherches et de diffusion juridiques</w:t>
                  </w:r>
                </w:p>
                <w:p w:rsidR="00DD042F" w:rsidRPr="00DD042F" w:rsidRDefault="00DD042F" w:rsidP="00DD042F">
                  <w:pPr>
                    <w:rPr>
                      <w:i/>
                      <w:sz w:val="20"/>
                      <w:lang w:eastAsia="fr-FR"/>
                    </w:rPr>
                  </w:pPr>
                  <w:r w:rsidRPr="00DD042F">
                    <w:rPr>
                      <w:sz w:val="20"/>
                      <w:lang w:eastAsia="fr-FR"/>
                    </w:rPr>
                    <w:t xml:space="preserve">Louis </w:t>
                  </w:r>
                  <w:proofErr w:type="spellStart"/>
                  <w:r w:rsidRPr="00DD042F">
                    <w:rPr>
                      <w:sz w:val="20"/>
                      <w:lang w:eastAsia="fr-FR"/>
                    </w:rPr>
                    <w:t>Dutheillet</w:t>
                  </w:r>
                  <w:proofErr w:type="spellEnd"/>
                  <w:r w:rsidRPr="00DD042F">
                    <w:rPr>
                      <w:sz w:val="20"/>
                      <w:lang w:eastAsia="fr-FR"/>
                    </w:rPr>
                    <w:t xml:space="preserve"> de Lamothe, Maître des requêtes au Conseil d'Etat, responsable du centre de recherches et de diffusion juridiques</w:t>
                  </w:r>
                </w:p>
              </w:tc>
            </w:tr>
            <w:tr w:rsidR="00DD042F" w:rsidRPr="00DD042F" w:rsidTr="00DD042F">
              <w:trPr>
                <w:tblCellSpacing w:w="0" w:type="dxa"/>
              </w:trPr>
              <w:tc>
                <w:tcPr>
                  <w:tcW w:w="0" w:type="auto"/>
                  <w:vAlign w:val="center"/>
                  <w:hideMark/>
                </w:tcPr>
                <w:p w:rsidR="00DD042F" w:rsidRPr="00DD042F" w:rsidRDefault="00DD042F" w:rsidP="00DD042F">
                  <w:pPr>
                    <w:ind w:left="567"/>
                    <w:rPr>
                      <w:i/>
                      <w:sz w:val="20"/>
                      <w:lang w:eastAsia="fr-FR"/>
                    </w:rPr>
                  </w:pPr>
                  <w:r w:rsidRPr="00DD042F">
                    <w:rPr>
                      <w:i/>
                      <w:sz w:val="20"/>
                      <w:lang w:eastAsia="fr-FR"/>
                    </w:rPr>
                    <w:t> </w:t>
                  </w:r>
                </w:p>
              </w:tc>
            </w:tr>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r w:rsidRPr="00DD042F">
                    <w:rPr>
                      <w:i/>
                      <w:sz w:val="20"/>
                      <w:lang w:eastAsia="fr-FR"/>
                    </w:rPr>
                    <w:t>L'essentiel</w:t>
                  </w:r>
                </w:p>
                <w:p w:rsidR="00DD042F" w:rsidRPr="00DD042F" w:rsidRDefault="00DD042F" w:rsidP="00DD042F">
                  <w:pPr>
                    <w:spacing w:after="240"/>
                    <w:ind w:left="426"/>
                    <w:rPr>
                      <w:i/>
                      <w:sz w:val="20"/>
                      <w:lang w:eastAsia="fr-FR"/>
                    </w:rPr>
                  </w:pPr>
                  <w:r w:rsidRPr="00DD042F">
                    <w:rPr>
                      <w:i/>
                      <w:sz w:val="20"/>
                      <w:lang w:eastAsia="fr-FR"/>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DD042F" w:rsidRPr="00DD042F" w:rsidTr="00DD042F">
              <w:trPr>
                <w:tblCellSpacing w:w="0" w:type="dxa"/>
              </w:trPr>
              <w:tc>
                <w:tcPr>
                  <w:tcW w:w="0" w:type="auto"/>
                  <w:vAlign w:val="center"/>
                  <w:hideMark/>
                </w:tcPr>
                <w:p w:rsidR="00DD042F" w:rsidRPr="00DD042F" w:rsidRDefault="00DD042F" w:rsidP="00DD042F">
                  <w:pPr>
                    <w:ind w:left="426"/>
                    <w:rPr>
                      <w:i/>
                      <w:sz w:val="20"/>
                      <w:lang w:eastAsia="fr-FR"/>
                    </w:rPr>
                  </w:pPr>
                  <w:r w:rsidRPr="00DD042F">
                    <w:rPr>
                      <w:i/>
                      <w:sz w:val="20"/>
                      <w:lang w:eastAsia="fr-FR"/>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sz w:val="20"/>
                      <w:lang w:eastAsia="fr-FR"/>
                    </w:rPr>
                    <w:t>Dans ce contexte, la jurisprudence fait pourtant preuve d'une remarquable stabilité dans ses principes et ses raisonnements.</w:t>
                  </w:r>
                </w:p>
              </w:tc>
            </w:tr>
          </w:tbl>
          <w:p w:rsidR="00DD042F" w:rsidRPr="00DD042F" w:rsidRDefault="00DD042F" w:rsidP="00DD042F">
            <w:pPr>
              <w:rPr>
                <w:i/>
                <w:sz w:val="20"/>
                <w:lang w:eastAsia="fr-FR"/>
              </w:rPr>
            </w:pPr>
          </w:p>
        </w:tc>
      </w:tr>
    </w:tbl>
    <w:p w:rsidR="00DD042F" w:rsidRPr="00DD042F" w:rsidRDefault="00DD042F" w:rsidP="00DD042F">
      <w:pPr>
        <w:rPr>
          <w:b/>
        </w:rPr>
      </w:pPr>
      <w:r>
        <w:t xml:space="preserve">Extrait : </w:t>
      </w:r>
      <w:r w:rsidRPr="00DD042F">
        <w:rPr>
          <w:b/>
        </w:rPr>
        <w:t>Propagande</w:t>
      </w:r>
    </w:p>
    <w:p w:rsidR="00DD042F" w:rsidRDefault="00DD042F" w:rsidP="00DD042F">
      <w:pPr>
        <w:ind w:firstLine="426"/>
        <w:jc w:val="both"/>
        <w:rPr>
          <w:sz w:val="20"/>
        </w:rPr>
      </w:pPr>
      <w:r w:rsidRPr="00DD042F">
        <w:rPr>
          <w:sz w:val="20"/>
        </w:rPr>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DD042F" w:rsidRDefault="00DD042F" w:rsidP="00DD042F">
      <w:pPr>
        <w:ind w:firstLine="426"/>
        <w:jc w:val="both"/>
        <w:rPr>
          <w:sz w:val="20"/>
        </w:rPr>
      </w:pPr>
      <w:r w:rsidRPr="00DD042F">
        <w:rPr>
          <w:sz w:val="20"/>
        </w:rPr>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DD042F" w:rsidRDefault="00DD042F" w:rsidP="00DD042F">
      <w:pPr>
        <w:ind w:firstLine="426"/>
        <w:jc w:val="both"/>
        <w:rPr>
          <w:sz w:val="20"/>
        </w:rPr>
      </w:pPr>
      <w:r w:rsidRPr="00DD042F">
        <w:rPr>
          <w:sz w:val="20"/>
        </w:rPr>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rPr>
          <w:sz w:val="20"/>
        </w:rPr>
        <w:t>microblogues</w:t>
      </w:r>
      <w:proofErr w:type="spellEnd"/>
      <w:r w:rsidRPr="00DD042F">
        <w:rPr>
          <w:sz w:val="20"/>
        </w:rPr>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DD042F" w:rsidRDefault="00DD042F" w:rsidP="00DD042F">
      <w:pPr>
        <w:ind w:firstLine="426"/>
        <w:jc w:val="both"/>
        <w:rPr>
          <w:sz w:val="20"/>
        </w:rPr>
      </w:pPr>
      <w:r w:rsidRPr="00DD042F">
        <w:rPr>
          <w:sz w:val="20"/>
        </w:rPr>
        <w:lastRenderedPageBreak/>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voeux (CE 8 juin 2015, n° 385721,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les inaugurations (CE 17 juin 2015, n° 385204,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Lebon T.</w:t>
      </w:r>
      <w:r w:rsidRPr="00DD042F">
        <w:rPr>
          <w:noProof/>
          <w:color w:val="0000FF"/>
          <w:sz w:val="20"/>
          <w:lang w:eastAsia="fr-FR"/>
        </w:rPr>
        <w:drawing>
          <wp:inline distT="0" distB="0" distL="0" distR="0" wp14:anchorId="28F55049" wp14:editId="6615C993">
            <wp:extent cx="123825" cy="123825"/>
            <wp:effectExtent l="0" t="0" r="9525" b="9525"/>
            <wp:docPr id="21" name="Image 21" descr="Document InterRevu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1242</w:t>
      </w:r>
      <w:r w:rsidRPr="00DD042F">
        <w:rPr>
          <w:noProof/>
          <w:color w:val="0000FF"/>
          <w:sz w:val="20"/>
          <w:lang w:eastAsia="fr-FR"/>
        </w:rPr>
        <w:drawing>
          <wp:inline distT="0" distB="0" distL="0" distR="0" wp14:anchorId="6CE2EA0F" wp14:editId="583A4399">
            <wp:extent cx="123825" cy="123825"/>
            <wp:effectExtent l="0" t="0" r="9525" b="9525"/>
            <wp:docPr id="20" name="Image 20" descr="http://www.dalloz.fr/documentation/hulkStatic/DZ/sharp_TRANSVERSE/images/picto-jurisprudenc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autres réunions d'information (CE 17 avr. 2015, n° 382194, </w:t>
      </w:r>
      <w:r w:rsidRPr="00DD042F">
        <w:rPr>
          <w:i/>
          <w:iCs/>
          <w:sz w:val="20"/>
        </w:rPr>
        <w:t xml:space="preserve">El. </w:t>
      </w:r>
      <w:proofErr w:type="spellStart"/>
      <w:r w:rsidRPr="00DD042F">
        <w:rPr>
          <w:i/>
          <w:iCs/>
          <w:sz w:val="20"/>
        </w:rPr>
        <w:t>mun</w:t>
      </w:r>
      <w:proofErr w:type="spellEnd"/>
      <w:r w:rsidRPr="00DD042F">
        <w:rPr>
          <w:i/>
          <w:iCs/>
          <w:sz w:val="20"/>
        </w:rPr>
        <w:t>. d'Audenge</w:t>
      </w:r>
      <w:r w:rsidRPr="00DD042F">
        <w:rPr>
          <w:sz w:val="20"/>
        </w:rPr>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DD042F" w:rsidRDefault="00DD042F" w:rsidP="00DD042F">
      <w:pPr>
        <w:ind w:firstLine="426"/>
        <w:jc w:val="both"/>
        <w:rPr>
          <w:sz w:val="20"/>
        </w:rPr>
      </w:pPr>
      <w:r w:rsidRPr="00DD042F">
        <w:rPr>
          <w:sz w:val="20"/>
        </w:rPr>
        <w:t xml:space="preserve">La même jurisprudence s'applique </w:t>
      </w:r>
      <w:r w:rsidRPr="00DD042F">
        <w:rPr>
          <w:i/>
          <w:iCs/>
          <w:sz w:val="20"/>
        </w:rPr>
        <w:t>mutatis mutandis</w:t>
      </w:r>
      <w:r w:rsidRPr="00DD042F">
        <w:rPr>
          <w:sz w:val="20"/>
        </w:rPr>
        <w:t xml:space="preserve"> aux bulletins municipaux d'information, qui peuvent continuer à paraître durant la campagne selon leur rythme et format habituels, mais dont le contenu doit se borner à être informatif (CE 17 juin 2015,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xml:space="preserve">, </w:t>
      </w:r>
      <w:proofErr w:type="spellStart"/>
      <w:r w:rsidRPr="00DD042F">
        <w:rPr>
          <w:sz w:val="20"/>
        </w:rPr>
        <w:t>préc</w:t>
      </w:r>
      <w:proofErr w:type="spellEnd"/>
      <w:r w:rsidRPr="00DD042F">
        <w:rPr>
          <w:sz w:val="20"/>
        </w:rPr>
        <w:t xml:space="preserve">.) et témoigner de la retenue nécessaire au contexte électoral. Un numéro exceptionnel (CE 21 janv. 2015, n° 382824,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AJDA 2015. 906</w:t>
      </w:r>
      <w:r w:rsidRPr="00DD042F">
        <w:rPr>
          <w:noProof/>
          <w:color w:val="0000FF"/>
          <w:sz w:val="20"/>
          <w:lang w:eastAsia="fr-FR"/>
        </w:rPr>
        <w:drawing>
          <wp:inline distT="0" distB="0" distL="0" distR="0" wp14:anchorId="4E40320D" wp14:editId="0FCD0507">
            <wp:extent cx="123825" cy="123825"/>
            <wp:effectExtent l="0" t="0" r="9525" b="9525"/>
            <wp:docPr id="19" name="Image 19" descr="http://www.dalloz.fr/documentation/hulkStatic/DZ/sharp_TRANSVERSE/images/picto-jurisprudenc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10 juin 2015, n° 387896, </w:t>
      </w:r>
      <w:r w:rsidRPr="00DD042F">
        <w:rPr>
          <w:i/>
          <w:iCs/>
          <w:sz w:val="20"/>
        </w:rPr>
        <w:t>Commission nationale des comptes de campagne et des financements politiques [CNCCFP]</w:t>
      </w:r>
      <w:r w:rsidRPr="00DD042F">
        <w:rPr>
          <w:sz w:val="20"/>
        </w:rPr>
        <w:t>, Lebon T.</w:t>
      </w:r>
      <w:r w:rsidRPr="00DD042F">
        <w:rPr>
          <w:noProof/>
          <w:color w:val="0000FF"/>
          <w:sz w:val="20"/>
          <w:lang w:eastAsia="fr-FR"/>
        </w:rPr>
        <w:drawing>
          <wp:inline distT="0" distB="0" distL="0" distR="0" wp14:anchorId="47468B06" wp14:editId="785048D5">
            <wp:extent cx="123825" cy="123825"/>
            <wp:effectExtent l="0" t="0" r="9525" b="9525"/>
            <wp:docPr id="18" name="Image 18" descr="Document InterRevu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adoptant un ton particulièrement laudatif sur les réalisations de la commune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voire au soutien des candidats de l'équipe municipale sortante (CE 3 déc. 2014, n° 382217, </w:t>
      </w:r>
      <w:r w:rsidRPr="00DD042F">
        <w:rPr>
          <w:i/>
          <w:iCs/>
          <w:sz w:val="20"/>
        </w:rPr>
        <w:t xml:space="preserve">El. </w:t>
      </w:r>
      <w:proofErr w:type="spellStart"/>
      <w:r w:rsidRPr="00DD042F">
        <w:rPr>
          <w:i/>
          <w:iCs/>
          <w:sz w:val="20"/>
        </w:rPr>
        <w:t>mun</w:t>
      </w:r>
      <w:proofErr w:type="spellEnd"/>
      <w:r w:rsidRPr="00DD042F">
        <w:rPr>
          <w:i/>
          <w:iCs/>
          <w:sz w:val="20"/>
        </w:rPr>
        <w:t>. de La Croix-Saint-</w:t>
      </w:r>
      <w:proofErr w:type="spellStart"/>
      <w:r w:rsidRPr="00DD042F">
        <w:rPr>
          <w:i/>
          <w:iCs/>
          <w:sz w:val="20"/>
        </w:rPr>
        <w:t>Leuffroy</w:t>
      </w:r>
      <w:proofErr w:type="spellEnd"/>
      <w:r w:rsidRPr="00DD042F">
        <w:rPr>
          <w:sz w:val="20"/>
        </w:rPr>
        <w:t>, Lebon</w:t>
      </w:r>
      <w:r w:rsidRPr="00DD042F">
        <w:rPr>
          <w:noProof/>
          <w:color w:val="0000FF"/>
          <w:sz w:val="20"/>
          <w:lang w:eastAsia="fr-FR"/>
        </w:rPr>
        <w:drawing>
          <wp:inline distT="0" distB="0" distL="0" distR="0" wp14:anchorId="3B07038C" wp14:editId="171FE88E">
            <wp:extent cx="123825" cy="123825"/>
            <wp:effectExtent l="0" t="0" r="9525" b="9525"/>
            <wp:docPr id="17" name="Image 17" descr="Document InterRevu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2392</w:t>
      </w:r>
      <w:r w:rsidRPr="00DD042F">
        <w:rPr>
          <w:noProof/>
          <w:color w:val="0000FF"/>
          <w:sz w:val="20"/>
          <w:lang w:eastAsia="fr-FR"/>
        </w:rPr>
        <w:drawing>
          <wp:inline distT="0" distB="0" distL="0" distR="0" wp14:anchorId="3E294922" wp14:editId="50E76402">
            <wp:extent cx="123825" cy="123825"/>
            <wp:effectExtent l="0" t="0" r="9525" b="9525"/>
            <wp:docPr id="16" name="Image 16" descr="http://www.dalloz.fr/documentation/hulkStatic/DZ/sharp_TRANSVERSE/images/picto-jurisprudenc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parfois illustré de nombreuses photographies du maire en place (CE 8 juin 2015,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w:t>
      </w:r>
      <w:proofErr w:type="spellStart"/>
      <w:r w:rsidRPr="00DD042F">
        <w:rPr>
          <w:sz w:val="20"/>
        </w:rPr>
        <w:t>préc</w:t>
      </w:r>
      <w:proofErr w:type="spellEnd"/>
      <w:r w:rsidRPr="00DD042F">
        <w:rPr>
          <w:sz w:val="20"/>
        </w:rPr>
        <w:t xml:space="preserve">. ; CE 21 janv. 2015,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xml:space="preserve"> </w:t>
      </w:r>
      <w:proofErr w:type="spellStart"/>
      <w:r w:rsidRPr="00DD042F">
        <w:rPr>
          <w:sz w:val="20"/>
        </w:rPr>
        <w:t>préc</w:t>
      </w:r>
      <w:proofErr w:type="spellEnd"/>
      <w:r w:rsidRPr="00DD042F">
        <w:rPr>
          <w:sz w:val="20"/>
        </w:rPr>
        <w:t xml:space="preserve">.), lequel aura ouvert le bulletin par un éditorial engagé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sz w:val="20"/>
        </w:rPr>
        <w:t>Barèges</w:t>
      </w:r>
      <w:r w:rsidRPr="00DD042F">
        <w:rPr>
          <w:sz w:val="20"/>
        </w:rPr>
        <w:t>, Lebon T.</w:t>
      </w:r>
      <w:r w:rsidRPr="00DD042F">
        <w:rPr>
          <w:noProof/>
          <w:color w:val="0000FF"/>
          <w:sz w:val="20"/>
          <w:lang w:eastAsia="fr-FR"/>
        </w:rPr>
        <w:drawing>
          <wp:inline distT="0" distB="0" distL="0" distR="0" wp14:anchorId="57F48594" wp14:editId="5AB56B56">
            <wp:extent cx="123825" cy="123825"/>
            <wp:effectExtent l="0" t="0" r="9525" b="9525"/>
            <wp:docPr id="15" name="Image 15" descr="Document InterRevu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E3A3A5" wp14:editId="4409F63D">
            <wp:extent cx="123825" cy="123825"/>
            <wp:effectExtent l="0" t="0" r="9525" b="9525"/>
            <wp:docPr id="14" name="Image 14" descr="http://www.dalloz.fr/documentation/hulkStatic/DZ/sharp_TRANSVERSE/images/picto-jurispruden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En revanche, il n'est pas interdit par principe à la commune de recourir à cette méthode d'information des électeurs durant les six mois précédant l'élection (CE 17 avr. 2015, n° 386091, </w:t>
      </w:r>
      <w:r w:rsidRPr="00DD042F">
        <w:rPr>
          <w:i/>
          <w:iCs/>
          <w:sz w:val="20"/>
        </w:rPr>
        <w:t xml:space="preserve">El. </w:t>
      </w:r>
      <w:proofErr w:type="spellStart"/>
      <w:r w:rsidRPr="00DD042F">
        <w:rPr>
          <w:i/>
          <w:iCs/>
          <w:sz w:val="20"/>
        </w:rPr>
        <w:t>mun</w:t>
      </w:r>
      <w:proofErr w:type="spellEnd"/>
      <w:r w:rsidRPr="00DD042F">
        <w:rPr>
          <w:i/>
          <w:iCs/>
          <w:sz w:val="20"/>
        </w:rPr>
        <w:t>. de Metz,</w:t>
      </w:r>
      <w:r w:rsidRPr="00DD042F">
        <w:rPr>
          <w:sz w:val="20"/>
        </w:rPr>
        <w:t xml:space="preserve"> </w:t>
      </w:r>
      <w:proofErr w:type="spellStart"/>
      <w:r w:rsidRPr="00DD042F">
        <w:rPr>
          <w:sz w:val="20"/>
        </w:rPr>
        <w:t>préc</w:t>
      </w:r>
      <w:proofErr w:type="spellEnd"/>
      <w:r w:rsidRPr="00DD042F">
        <w:rPr>
          <w:sz w:val="20"/>
        </w:rPr>
        <w:t>.).</w:t>
      </w:r>
    </w:p>
    <w:p w:rsidR="00DD042F" w:rsidRDefault="00DD042F" w:rsidP="00DD042F">
      <w:pPr>
        <w:ind w:firstLine="426"/>
        <w:jc w:val="both"/>
        <w:rPr>
          <w:sz w:val="20"/>
        </w:rPr>
      </w:pPr>
      <w:r w:rsidRPr="00DD042F">
        <w:rPr>
          <w:sz w:val="20"/>
        </w:rPr>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sz w:val="20"/>
        </w:rPr>
        <w:t xml:space="preserve">El. </w:t>
      </w:r>
      <w:proofErr w:type="spellStart"/>
      <w:r w:rsidRPr="00DD042F">
        <w:rPr>
          <w:i/>
          <w:iCs/>
          <w:sz w:val="20"/>
        </w:rPr>
        <w:t>mun</w:t>
      </w:r>
      <w:proofErr w:type="spellEnd"/>
      <w:r w:rsidRPr="00DD042F">
        <w:rPr>
          <w:i/>
          <w:iCs/>
          <w:sz w:val="20"/>
        </w:rPr>
        <w:t>. de Salles,</w:t>
      </w:r>
      <w:r w:rsidRPr="00DD042F">
        <w:rPr>
          <w:sz w:val="20"/>
        </w:rPr>
        <w:t xml:space="preserve"> Lebon T.</w:t>
      </w:r>
      <w:r w:rsidRPr="00DD042F">
        <w:rPr>
          <w:noProof/>
          <w:color w:val="0000FF"/>
          <w:sz w:val="20"/>
          <w:lang w:eastAsia="fr-FR"/>
        </w:rPr>
        <w:drawing>
          <wp:inline distT="0" distB="0" distL="0" distR="0" wp14:anchorId="4D386165" wp14:editId="06FD345D">
            <wp:extent cx="123825" cy="123825"/>
            <wp:effectExtent l="0" t="0" r="9525" b="9525"/>
            <wp:docPr id="13" name="Image 13" descr="Document InterRevu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2220</w:t>
      </w:r>
      <w:r w:rsidRPr="00DD042F">
        <w:rPr>
          <w:noProof/>
          <w:color w:val="0000FF"/>
          <w:sz w:val="20"/>
          <w:lang w:eastAsia="fr-FR"/>
        </w:rPr>
        <w:drawing>
          <wp:inline distT="0" distB="0" distL="0" distR="0" wp14:anchorId="3ACE9101" wp14:editId="219D9634">
            <wp:extent cx="123825" cy="123825"/>
            <wp:effectExtent l="0" t="0" r="9525" b="9525"/>
            <wp:docPr id="12" name="Image 12" descr="http://www.dalloz.fr/documentation/hulkStatic/DZ/sharp_TRANSVERSE/images/picto-jurisprudenc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sz w:val="20"/>
        </w:rPr>
        <w:t xml:space="preserve">El. </w:t>
      </w:r>
      <w:proofErr w:type="spellStart"/>
      <w:r w:rsidRPr="00DD042F">
        <w:rPr>
          <w:i/>
          <w:iCs/>
          <w:sz w:val="20"/>
        </w:rPr>
        <w:t>mun</w:t>
      </w:r>
      <w:proofErr w:type="spellEnd"/>
      <w:r w:rsidRPr="00DD042F">
        <w:rPr>
          <w:i/>
          <w:iCs/>
          <w:sz w:val="20"/>
        </w:rPr>
        <w:t>. de Clichy</w:t>
      </w:r>
      <w:r w:rsidRPr="00DD042F">
        <w:rPr>
          <w:sz w:val="20"/>
        </w:rPr>
        <w:t>, Lebon</w:t>
      </w:r>
      <w:r w:rsidRPr="00DD042F">
        <w:rPr>
          <w:noProof/>
          <w:color w:val="0000FF"/>
          <w:sz w:val="20"/>
          <w:lang w:eastAsia="fr-FR"/>
        </w:rPr>
        <w:drawing>
          <wp:inline distT="0" distB="0" distL="0" distR="0" wp14:anchorId="3597FD44" wp14:editId="22DBF245">
            <wp:extent cx="123825" cy="123825"/>
            <wp:effectExtent l="0" t="0" r="9525" b="9525"/>
            <wp:docPr id="11" name="Image 11" descr="Document InterRevu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1014</w:t>
      </w:r>
      <w:r w:rsidRPr="00DD042F">
        <w:rPr>
          <w:noProof/>
          <w:color w:val="0000FF"/>
          <w:sz w:val="20"/>
          <w:lang w:eastAsia="fr-FR"/>
        </w:rPr>
        <w:drawing>
          <wp:inline distT="0" distB="0" distL="0" distR="0" wp14:anchorId="6AEA0F5D" wp14:editId="305C5BDF">
            <wp:extent cx="123825" cy="123825"/>
            <wp:effectExtent l="0" t="0" r="9525" b="9525"/>
            <wp:docPr id="10" name="Image 10" descr="http://www.dalloz.fr/documentation/hulkStatic/DZ/sharp_TRANSVERSE/images/picto-jurisprudenc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3 déc. 2014, n° 383240, </w:t>
      </w:r>
      <w:r w:rsidRPr="00DD042F">
        <w:rPr>
          <w:i/>
          <w:iCs/>
          <w:sz w:val="20"/>
        </w:rPr>
        <w:t xml:space="preserve">El. </w:t>
      </w:r>
      <w:proofErr w:type="spellStart"/>
      <w:r w:rsidRPr="00DD042F">
        <w:rPr>
          <w:i/>
          <w:iCs/>
          <w:sz w:val="20"/>
        </w:rPr>
        <w:t>mun</w:t>
      </w:r>
      <w:proofErr w:type="spellEnd"/>
      <w:r w:rsidRPr="00DD042F">
        <w:rPr>
          <w:i/>
          <w:iCs/>
          <w:sz w:val="20"/>
        </w:rPr>
        <w:t>. du Pin</w:t>
      </w:r>
      <w:r w:rsidRPr="00DD042F">
        <w:rPr>
          <w:sz w:val="20"/>
        </w:rPr>
        <w:t>, AJDA 2015. 590</w:t>
      </w:r>
      <w:r w:rsidRPr="00DD042F">
        <w:rPr>
          <w:noProof/>
          <w:color w:val="0000FF"/>
          <w:sz w:val="20"/>
          <w:lang w:eastAsia="fr-FR"/>
        </w:rPr>
        <w:drawing>
          <wp:inline distT="0" distB="0" distL="0" distR="0" wp14:anchorId="623D41DE" wp14:editId="6314C2E7">
            <wp:extent cx="123825" cy="123825"/>
            <wp:effectExtent l="0" t="0" r="9525" b="9525"/>
            <wp:docPr id="9" name="Image 9" descr="http://www.dalloz.fr/documentation/hulkStatic/DZ/sharp_TRANSVERSE/images/picto-jurisprudence.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note B. </w:t>
      </w:r>
      <w:proofErr w:type="spellStart"/>
      <w:r w:rsidRPr="00DD042F">
        <w:rPr>
          <w:sz w:val="20"/>
        </w:rPr>
        <w:t>Maligner</w:t>
      </w:r>
      <w:proofErr w:type="spellEnd"/>
      <w:r w:rsidRPr="00DD042F">
        <w:rPr>
          <w:noProof/>
          <w:color w:val="0000FF"/>
          <w:sz w:val="20"/>
          <w:lang w:eastAsia="fr-FR"/>
        </w:rPr>
        <w:drawing>
          <wp:inline distT="0" distB="0" distL="0" distR="0" wp14:anchorId="2E860F48" wp14:editId="6804FE31">
            <wp:extent cx="123825" cy="123825"/>
            <wp:effectExtent l="0" t="0" r="9525" b="9525"/>
            <wp:docPr id="8" name="Image 8" descr="http://www.dalloz.fr/documentation/hulkStatic/DZ/sharp_TRANSVERSE/images/picto-doctrin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sz w:val="20"/>
        </w:rPr>
        <w:t>Pagny</w:t>
      </w:r>
      <w:proofErr w:type="spellEnd"/>
      <w:r w:rsidRPr="00DD042F">
        <w:rPr>
          <w:sz w:val="20"/>
        </w:rPr>
        <w:t>, Lebon T.</w:t>
      </w:r>
      <w:r w:rsidRPr="00DD042F">
        <w:rPr>
          <w:noProof/>
          <w:color w:val="0000FF"/>
          <w:sz w:val="20"/>
          <w:lang w:eastAsia="fr-FR"/>
        </w:rPr>
        <w:drawing>
          <wp:inline distT="0" distB="0" distL="0" distR="0" wp14:anchorId="2298911E" wp14:editId="5203F447">
            <wp:extent cx="123825" cy="123825"/>
            <wp:effectExtent l="0" t="0" r="9525" b="9525"/>
            <wp:docPr id="7" name="Image 7" descr="Document InterRevu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BF3376" wp14:editId="4E2636BE">
            <wp:extent cx="123825" cy="123825"/>
            <wp:effectExtent l="0" t="0" r="9525" b="9525"/>
            <wp:docPr id="6" name="Image 6" descr="http://www.dalloz.fr/documentation/hulkStatic/DZ/sharp_TRANSVERSE/images/picto-jurisprudenc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w:t>
      </w:r>
    </w:p>
    <w:p w:rsidR="00DD042F" w:rsidRDefault="00DD042F" w:rsidP="00DD042F">
      <w:pPr>
        <w:ind w:firstLine="426"/>
        <w:jc w:val="both"/>
        <w:rPr>
          <w:sz w:val="20"/>
        </w:rPr>
      </w:pPr>
      <w:r w:rsidRPr="00DD042F">
        <w:rPr>
          <w:sz w:val="20"/>
        </w:rPr>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sz w:val="20"/>
        </w:rPr>
        <w:t xml:space="preserve">El. </w:t>
      </w:r>
      <w:proofErr w:type="spellStart"/>
      <w:r w:rsidRPr="00DD042F">
        <w:rPr>
          <w:i/>
          <w:iCs/>
          <w:sz w:val="20"/>
        </w:rPr>
        <w:t>mun</w:t>
      </w:r>
      <w:proofErr w:type="spellEnd"/>
      <w:r w:rsidRPr="00DD042F">
        <w:rPr>
          <w:i/>
          <w:iCs/>
          <w:sz w:val="20"/>
        </w:rPr>
        <w:t>. de Thionville</w:t>
      </w:r>
      <w:r w:rsidRPr="00DD042F">
        <w:rPr>
          <w:sz w:val="20"/>
        </w:rPr>
        <w:t>, Lebon</w:t>
      </w:r>
      <w:r w:rsidRPr="00DD042F">
        <w:rPr>
          <w:noProof/>
          <w:color w:val="0000FF"/>
          <w:sz w:val="20"/>
          <w:lang w:eastAsia="fr-FR"/>
        </w:rPr>
        <w:drawing>
          <wp:inline distT="0" distB="0" distL="0" distR="0" wp14:anchorId="2B0F010C" wp14:editId="79A80405">
            <wp:extent cx="123825" cy="123825"/>
            <wp:effectExtent l="0" t="0" r="9525" b="9525"/>
            <wp:docPr id="5" name="Image 5" descr="Document InterRevu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L'office du juge de l'élection est d'abord d'apprécier la sincérité du scrutin et non d'imputer les manquements.</w:t>
      </w:r>
    </w:p>
    <w:p w:rsidR="00DD042F" w:rsidRDefault="00DD042F" w:rsidP="00DD042F">
      <w:pPr>
        <w:ind w:firstLine="426"/>
        <w:jc w:val="both"/>
        <w:rPr>
          <w:sz w:val="20"/>
        </w:rPr>
      </w:pPr>
      <w:r w:rsidRPr="00DD042F">
        <w:rPr>
          <w:sz w:val="20"/>
        </w:rPr>
        <w:t xml:space="preserve">Il ne suffit pas d'un nouveau « slogan » pour qu'il y ait nouvelle polémique (CE 10 juin 2015, n° 386062, </w:t>
      </w:r>
      <w:r w:rsidRPr="00DD042F">
        <w:rPr>
          <w:i/>
          <w:iCs/>
          <w:sz w:val="20"/>
        </w:rPr>
        <w:t xml:space="preserve">El. </w:t>
      </w:r>
      <w:proofErr w:type="spellStart"/>
      <w:r w:rsidRPr="00DD042F">
        <w:rPr>
          <w:i/>
          <w:iCs/>
          <w:sz w:val="20"/>
        </w:rPr>
        <w:t>mun</w:t>
      </w:r>
      <w:proofErr w:type="spellEnd"/>
      <w:r w:rsidRPr="00DD042F">
        <w:rPr>
          <w:i/>
          <w:iCs/>
          <w:sz w:val="20"/>
        </w:rPr>
        <w:t>. et communautaires de Chilly-Mazarin</w:t>
      </w:r>
      <w:r w:rsidRPr="00DD042F">
        <w:rPr>
          <w:sz w:val="20"/>
        </w:rPr>
        <w:t>, Lebon T.</w:t>
      </w:r>
      <w:r w:rsidRPr="00DD042F">
        <w:rPr>
          <w:noProof/>
          <w:color w:val="0000FF"/>
          <w:sz w:val="20"/>
          <w:lang w:eastAsia="fr-FR"/>
        </w:rPr>
        <w:drawing>
          <wp:inline distT="0" distB="0" distL="0" distR="0" wp14:anchorId="3DAF2BC7" wp14:editId="042F43CB">
            <wp:extent cx="123825" cy="123825"/>
            <wp:effectExtent l="0" t="0" r="9525" b="9525"/>
            <wp:docPr id="4" name="Image 4" descr="Document InterRevu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si un élément nouveau apparaît le vendredi au matin, le juge peut estimer que le candidat visé dispose d'un temps suffisant pour y répondre (CE 17 avr. 2015, </w:t>
      </w:r>
      <w:r w:rsidRPr="00DD042F">
        <w:rPr>
          <w:i/>
          <w:iCs/>
          <w:sz w:val="20"/>
        </w:rPr>
        <w:t xml:space="preserve">El. </w:t>
      </w:r>
      <w:proofErr w:type="spellStart"/>
      <w:r w:rsidRPr="00DD042F">
        <w:rPr>
          <w:i/>
          <w:iCs/>
          <w:sz w:val="20"/>
        </w:rPr>
        <w:t>mun</w:t>
      </w:r>
      <w:proofErr w:type="spellEnd"/>
      <w:r w:rsidRPr="00DD042F">
        <w:rPr>
          <w:i/>
          <w:iCs/>
          <w:sz w:val="20"/>
        </w:rPr>
        <w:t xml:space="preserve">. de Paris </w:t>
      </w:r>
      <w:proofErr w:type="gramStart"/>
      <w:r w:rsidRPr="00DD042F">
        <w:rPr>
          <w:i/>
          <w:iCs/>
          <w:sz w:val="20"/>
        </w:rPr>
        <w:t>4</w:t>
      </w:r>
      <w:r w:rsidRPr="00DD042F">
        <w:rPr>
          <w:i/>
          <w:iCs/>
          <w:sz w:val="20"/>
          <w:vertAlign w:val="superscript"/>
        </w:rPr>
        <w:t>e</w:t>
      </w:r>
      <w:r w:rsidRPr="00DD042F">
        <w:rPr>
          <w:i/>
          <w:iCs/>
          <w:sz w:val="20"/>
        </w:rPr>
        <w:t xml:space="preserve"> </w:t>
      </w:r>
      <w:r w:rsidRPr="00DD042F">
        <w:rPr>
          <w:sz w:val="20"/>
        </w:rPr>
        <w:t>,</w:t>
      </w:r>
      <w:proofErr w:type="gramEnd"/>
      <w:r w:rsidRPr="00DD042F">
        <w:rPr>
          <w:sz w:val="20"/>
        </w:rPr>
        <w:t xml:space="preserve"> n° 385496). En revanche, la large diffusion d'un tract le vendredi soir contenant un nouvel engagement du candidat peut entraîner l'annulation de l'élection (CE 25 févr. 2015, n° 385686, </w:t>
      </w:r>
      <w:r w:rsidRPr="00DD042F">
        <w:rPr>
          <w:i/>
          <w:iCs/>
          <w:sz w:val="20"/>
        </w:rPr>
        <w:t xml:space="preserve">El. </w:t>
      </w:r>
      <w:proofErr w:type="spellStart"/>
      <w:r w:rsidRPr="00DD042F">
        <w:rPr>
          <w:i/>
          <w:iCs/>
          <w:sz w:val="20"/>
        </w:rPr>
        <w:t>mun</w:t>
      </w:r>
      <w:proofErr w:type="spellEnd"/>
      <w:r w:rsidRPr="00DD042F">
        <w:rPr>
          <w:i/>
          <w:iCs/>
          <w:sz w:val="20"/>
        </w:rPr>
        <w:t>. de Voisins-le-Bretonneux</w:t>
      </w:r>
      <w:r w:rsidRPr="00DD042F">
        <w:rPr>
          <w:sz w:val="20"/>
        </w:rPr>
        <w:t>, Lebon T.</w:t>
      </w:r>
      <w:r w:rsidRPr="00DD042F">
        <w:rPr>
          <w:noProof/>
          <w:color w:val="0000FF"/>
          <w:sz w:val="20"/>
          <w:lang w:eastAsia="fr-FR"/>
        </w:rPr>
        <w:drawing>
          <wp:inline distT="0" distB="0" distL="0" distR="0" wp14:anchorId="244875B3" wp14:editId="0AD81B4A">
            <wp:extent cx="123825" cy="123825"/>
            <wp:effectExtent l="0" t="0" r="9525" b="9525"/>
            <wp:docPr id="3" name="Image 3" descr="Document InterRevu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423</w:t>
      </w:r>
      <w:r w:rsidRPr="00DD042F">
        <w:rPr>
          <w:noProof/>
          <w:color w:val="0000FF"/>
          <w:sz w:val="20"/>
          <w:lang w:eastAsia="fr-FR"/>
        </w:rPr>
        <w:drawing>
          <wp:inline distT="0" distB="0" distL="0" distR="0" wp14:anchorId="1F9B8F65" wp14:editId="2DD8E14C">
            <wp:extent cx="123825" cy="123825"/>
            <wp:effectExtent l="0" t="0" r="9525" b="9525"/>
            <wp:docPr id="2" name="Image 2" descr="http://www.dalloz.fr/documentation/hulkStatic/DZ/sharp_TRANSVERSE/images/picto-jurisprudenc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sz w:val="20"/>
        </w:rPr>
        <w:t xml:space="preserve">El. </w:t>
      </w:r>
      <w:proofErr w:type="spellStart"/>
      <w:r w:rsidRPr="00DD042F">
        <w:rPr>
          <w:i/>
          <w:iCs/>
          <w:sz w:val="20"/>
        </w:rPr>
        <w:t>mun</w:t>
      </w:r>
      <w:proofErr w:type="spellEnd"/>
      <w:r w:rsidRPr="00DD042F">
        <w:rPr>
          <w:i/>
          <w:iCs/>
          <w:sz w:val="20"/>
        </w:rPr>
        <w:t>. de Chilly-Mazarin</w:t>
      </w:r>
      <w:r w:rsidRPr="00DD042F">
        <w:rPr>
          <w:sz w:val="20"/>
        </w:rPr>
        <w:t xml:space="preserve">, </w:t>
      </w:r>
      <w:proofErr w:type="spellStart"/>
      <w:r w:rsidRPr="00DD042F">
        <w:rPr>
          <w:sz w:val="20"/>
        </w:rPr>
        <w:t>préc</w:t>
      </w:r>
      <w:proofErr w:type="spellEnd"/>
      <w:r w:rsidRPr="00DD042F">
        <w:rPr>
          <w:sz w:val="20"/>
        </w:rPr>
        <w:t xml:space="preserve">.). En revanche, le déploiement d'une banderole le jour même du scrutin, en dehors des emplacements réservés aux affiches électorales (C. </w:t>
      </w:r>
      <w:proofErr w:type="spellStart"/>
      <w:proofErr w:type="gramStart"/>
      <w:r w:rsidRPr="00DD042F">
        <w:rPr>
          <w:sz w:val="20"/>
        </w:rPr>
        <w:t>élect</w:t>
      </w:r>
      <w:proofErr w:type="spellEnd"/>
      <w:r w:rsidRPr="00DD042F">
        <w:rPr>
          <w:sz w:val="20"/>
        </w:rPr>
        <w:t>.,</w:t>
      </w:r>
      <w:proofErr w:type="gramEnd"/>
      <w:r w:rsidRPr="00DD042F">
        <w:rPr>
          <w:sz w:val="20"/>
        </w:rPr>
        <w:t xml:space="preserve"> art. L. 51) peut entraîner l'annulation du scrutin (CE 10 juin 2015, n° 383585,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Michelbach</w:t>
      </w:r>
      <w:proofErr w:type="spellEnd"/>
      <w:r w:rsidRPr="00DD042F">
        <w:rPr>
          <w:i/>
          <w:iCs/>
          <w:sz w:val="20"/>
        </w:rPr>
        <w:t>-</w:t>
      </w:r>
      <w:proofErr w:type="spellStart"/>
      <w:r w:rsidRPr="00DD042F">
        <w:rPr>
          <w:i/>
          <w:iCs/>
          <w:sz w:val="20"/>
        </w:rPr>
        <w:t>le-Bas</w:t>
      </w:r>
      <w:proofErr w:type="spellEnd"/>
      <w:r w:rsidRPr="00DD042F">
        <w:rPr>
          <w:sz w:val="20"/>
        </w:rPr>
        <w:t>, Lebon T.</w:t>
      </w:r>
      <w:r w:rsidRPr="00DD042F">
        <w:rPr>
          <w:noProof/>
          <w:color w:val="0000FF"/>
          <w:sz w:val="20"/>
          <w:lang w:eastAsia="fr-FR"/>
        </w:rPr>
        <w:drawing>
          <wp:inline distT="0" distB="0" distL="0" distR="0" wp14:anchorId="7447DEA6" wp14:editId="04356F6F">
            <wp:extent cx="123825" cy="123825"/>
            <wp:effectExtent l="0" t="0" r="9525" b="9525"/>
            <wp:docPr id="1" name="Image 1"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rPr>
          <w:sz w:val="20"/>
        </w:rPr>
        <w:t>préc</w:t>
      </w:r>
      <w:proofErr w:type="spellEnd"/>
      <w:r w:rsidRPr="00DD042F">
        <w:rPr>
          <w:sz w:val="20"/>
        </w:rPr>
        <w:t>.).</w:t>
      </w:r>
    </w:p>
    <w:p w:rsidR="007127EA" w:rsidRPr="007127EA" w:rsidRDefault="007127EA" w:rsidP="00351A93">
      <w:pPr>
        <w:pBdr>
          <w:top w:val="single" w:sz="4" w:space="1" w:color="auto"/>
          <w:left w:val="single" w:sz="4" w:space="4" w:color="auto"/>
          <w:bottom w:val="single" w:sz="4" w:space="1" w:color="auto"/>
          <w:right w:val="single" w:sz="4" w:space="4" w:color="auto"/>
        </w:pBdr>
        <w:ind w:firstLine="426"/>
        <w:jc w:val="both"/>
        <w:rPr>
          <w:b/>
        </w:rPr>
      </w:pPr>
      <w:r w:rsidRPr="007127EA">
        <w:rPr>
          <w:b/>
        </w:rPr>
        <w:lastRenderedPageBreak/>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Pr="007127EA">
        <w:rPr>
          <w:b/>
          <w:noProof/>
          <w:color w:val="0000FF"/>
          <w:lang w:eastAsia="fr-FR"/>
        </w:rPr>
        <w:drawing>
          <wp:inline distT="0" distB="0" distL="0" distR="0" wp14:anchorId="61546DC0" wp14:editId="7F0358F4">
            <wp:extent cx="123825" cy="123825"/>
            <wp:effectExtent l="0" t="0" r="9525" b="9525"/>
            <wp:docPr id="22" name="Image 22" descr="http://www.dalloz.fr/documentation/hulkStatic/DZ/sharp_TRANSVERSE/images/picto-jurisprudenc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lloz.fr/documentation/hulkStatic/DZ/sharp_TRANSVERSE/images/picto-jurisprudence.gif">
                      <a:hlinkClick r:id="rId3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9E1EAF" w:rsidRDefault="007127EA" w:rsidP="00DD042F">
      <w:pPr>
        <w:ind w:firstLine="426"/>
        <w:jc w:val="both"/>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351A93" w:rsidRDefault="00351A93" w:rsidP="00DD042F">
      <w:pPr>
        <w:ind w:firstLine="426"/>
        <w:jc w:val="both"/>
        <w:rPr>
          <w:sz w:val="22"/>
        </w:rPr>
      </w:pPr>
    </w:p>
    <w:p w:rsidR="00503619" w:rsidRPr="009E1EAF" w:rsidRDefault="007127EA" w:rsidP="00DD042F">
      <w:pPr>
        <w:ind w:firstLine="426"/>
        <w:jc w:val="both"/>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7127EA" w:rsidRPr="009E1EAF" w:rsidRDefault="007127EA" w:rsidP="00DD042F">
      <w:pPr>
        <w:ind w:firstLine="426"/>
        <w:jc w:val="both"/>
        <w:rPr>
          <w:sz w:val="22"/>
        </w:rPr>
      </w:pPr>
    </w:p>
    <w:p w:rsidR="007127EA" w:rsidRPr="009E1EAF" w:rsidRDefault="007127EA" w:rsidP="00351A93">
      <w:pPr>
        <w:pBdr>
          <w:top w:val="single" w:sz="4" w:space="1" w:color="auto"/>
          <w:left w:val="single" w:sz="4" w:space="4" w:color="auto"/>
          <w:bottom w:val="single" w:sz="4" w:space="1" w:color="auto"/>
          <w:right w:val="single" w:sz="4" w:space="4" w:color="auto"/>
        </w:pBdr>
        <w:ind w:firstLine="426"/>
        <w:jc w:val="both"/>
        <w:rPr>
          <w:b/>
          <w:sz w:val="22"/>
        </w:rPr>
      </w:pPr>
      <w:r w:rsidRPr="009E1EAF">
        <w:rPr>
          <w:b/>
          <w:sz w:val="22"/>
        </w:rPr>
        <w:t xml:space="preserve">Extrait de CE 27 juin 2016, n° </w:t>
      </w:r>
      <w:r w:rsidRPr="009E1EAF">
        <w:rPr>
          <w:rStyle w:val="lev"/>
          <w:sz w:val="22"/>
        </w:rPr>
        <w:t>395413</w:t>
      </w:r>
      <w:r w:rsidRPr="009E1EAF">
        <w:rPr>
          <w:rStyle w:val="lev"/>
          <w:b w:val="0"/>
          <w:sz w:val="22"/>
        </w:rPr>
        <w:t xml:space="preserve">    C</w:t>
      </w:r>
      <w:r w:rsidRPr="009E1EAF">
        <w:rPr>
          <w:b/>
          <w:sz w:val="22"/>
        </w:rPr>
        <w:t xml:space="preserve">onseil régional de Normandie </w:t>
      </w:r>
    </w:p>
    <w:p w:rsidR="009E1EAF" w:rsidRDefault="007127EA" w:rsidP="00DD042F">
      <w:pPr>
        <w:ind w:firstLine="426"/>
        <w:jc w:val="both"/>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9E1EAF" w:rsidRDefault="009E1EAF" w:rsidP="00DD042F">
      <w:pPr>
        <w:ind w:firstLine="426"/>
        <w:jc w:val="both"/>
        <w:rPr>
          <w:sz w:val="22"/>
        </w:rPr>
      </w:pPr>
    </w:p>
    <w:p w:rsidR="009E1EAF" w:rsidRDefault="007127EA" w:rsidP="00DD042F">
      <w:pPr>
        <w:ind w:firstLine="426"/>
        <w:jc w:val="both"/>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elle n'a pas été de nature à altérer la sincérité du scrutin, eu égard à son contenu qui n'apportait aucun élément nouveau au débat électoral ;</w:t>
      </w:r>
    </w:p>
    <w:p w:rsidR="009E1EAF" w:rsidRDefault="009E1EAF" w:rsidP="00DD042F">
      <w:pPr>
        <w:ind w:firstLine="426"/>
        <w:jc w:val="both"/>
        <w:rPr>
          <w:sz w:val="22"/>
        </w:rPr>
      </w:pPr>
    </w:p>
    <w:p w:rsidR="007127EA" w:rsidRDefault="007127EA" w:rsidP="00DD042F">
      <w:pPr>
        <w:ind w:firstLine="426"/>
        <w:jc w:val="both"/>
        <w:rPr>
          <w:sz w:val="22"/>
        </w:rPr>
      </w:pPr>
      <w:r w:rsidRPr="009E1EAF">
        <w:rPr>
          <w:sz w:val="22"/>
        </w:rPr>
        <w:t>5. Considérant qu'il résulte de l'instruction que Mme</w:t>
      </w:r>
      <w:r w:rsidR="009E1EAF">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w:t>
      </w:r>
      <w:proofErr w:type="spellStart"/>
      <w:r w:rsidRPr="009E1EAF">
        <w:rPr>
          <w:sz w:val="22"/>
        </w:rPr>
        <w:t>HervéE</w:t>
      </w:r>
      <w:proofErr w:type="spellEnd"/>
      <w:r w:rsidRPr="009E1EAF">
        <w:rPr>
          <w:sz w:val="22"/>
        </w:rPr>
        <w:t xml:space="preserv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411938" w:rsidRDefault="00411938" w:rsidP="00DD042F">
      <w:pPr>
        <w:ind w:firstLine="426"/>
        <w:jc w:val="both"/>
        <w:rPr>
          <w:sz w:val="22"/>
        </w:rPr>
      </w:pPr>
    </w:p>
    <w:p w:rsidR="00411938" w:rsidRDefault="00411938" w:rsidP="00351A93">
      <w:pPr>
        <w:pBdr>
          <w:top w:val="single" w:sz="4" w:space="1" w:color="auto"/>
          <w:left w:val="single" w:sz="4" w:space="4" w:color="auto"/>
          <w:bottom w:val="single" w:sz="4" w:space="1" w:color="auto"/>
          <w:right w:val="single" w:sz="4" w:space="4" w:color="auto"/>
        </w:pBdr>
        <w:ind w:firstLine="426"/>
        <w:jc w:val="both"/>
      </w:pPr>
      <w:r>
        <w:t>CE 11 mai 2015, n°</w:t>
      </w:r>
      <w:r>
        <w:rPr>
          <w:rStyle w:val="lev"/>
        </w:rPr>
        <w:t xml:space="preserve">386018    </w:t>
      </w:r>
      <w:r>
        <w:t>Elections municipales de Clichy (Hauts-de Seine)</w:t>
      </w:r>
    </w:p>
    <w:p w:rsidR="00411938" w:rsidRDefault="00411938" w:rsidP="00DD042F">
      <w:pPr>
        <w:ind w:firstLine="426"/>
        <w:jc w:val="both"/>
      </w:pPr>
    </w:p>
    <w:p w:rsidR="00351A93" w:rsidRDefault="00411938" w:rsidP="00DD042F">
      <w:pPr>
        <w:ind w:firstLine="426"/>
        <w:jc w:val="both"/>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411938" w:rsidRDefault="00411938" w:rsidP="00DD042F">
      <w:pPr>
        <w:ind w:firstLine="426"/>
        <w:jc w:val="both"/>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w:t>
      </w:r>
      <w:r w:rsidR="00351A93">
        <w:t xml:space="preserve"> </w:t>
      </w:r>
      <w:r>
        <w:t xml:space="preserve">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351A93" w:rsidRDefault="00351A93" w:rsidP="00DD042F">
      <w:pPr>
        <w:pBdr>
          <w:bottom w:val="single" w:sz="12" w:space="1" w:color="auto"/>
        </w:pBdr>
        <w:ind w:firstLine="426"/>
        <w:jc w:val="both"/>
        <w:rPr>
          <w:sz w:val="18"/>
        </w:rPr>
      </w:pPr>
    </w:p>
    <w:p w:rsidR="00351A93" w:rsidRDefault="00351A93" w:rsidP="00DD042F">
      <w:pPr>
        <w:pBdr>
          <w:bottom w:val="single" w:sz="12" w:space="1" w:color="auto"/>
        </w:pBdr>
        <w:ind w:firstLine="426"/>
        <w:jc w:val="both"/>
        <w:rPr>
          <w:sz w:val="18"/>
        </w:rPr>
      </w:pPr>
    </w:p>
    <w:p w:rsidR="00351A93" w:rsidRDefault="00351A93" w:rsidP="00DD042F">
      <w:pPr>
        <w:pBdr>
          <w:bottom w:val="single" w:sz="12" w:space="1" w:color="auto"/>
        </w:pBdr>
        <w:ind w:firstLine="426"/>
        <w:jc w:val="both"/>
        <w:rPr>
          <w:sz w:val="18"/>
        </w:rPr>
      </w:pPr>
    </w:p>
    <w:p w:rsidR="00351A93" w:rsidRDefault="00351A93" w:rsidP="00DD042F">
      <w:pPr>
        <w:ind w:firstLine="426"/>
        <w:jc w:val="both"/>
        <w:rPr>
          <w:sz w:val="18"/>
        </w:rPr>
      </w:pPr>
    </w:p>
    <w:p w:rsidR="00335B92" w:rsidRDefault="00335B92">
      <w:pPr>
        <w:rPr>
          <w:sz w:val="18"/>
        </w:rPr>
      </w:pPr>
      <w:r>
        <w:rPr>
          <w:sz w:val="18"/>
        </w:rPr>
        <w:br w:type="page"/>
      </w:r>
    </w:p>
    <w:p w:rsidR="00335B92" w:rsidRDefault="00335B92" w:rsidP="00335B92">
      <w:pPr>
        <w:ind w:firstLine="426"/>
        <w:jc w:val="both"/>
      </w:pPr>
      <w:r>
        <w:lastRenderedPageBreak/>
        <w:t xml:space="preserve">Actualités </w:t>
      </w:r>
      <w:hyperlink r:id="rId34" w:history="1">
        <w:r>
          <w:rPr>
            <w:rStyle w:val="Lienhypertexte"/>
          </w:rPr>
          <w:t>CSA/CNIL</w:t>
        </w:r>
      </w:hyperlink>
      <w:r>
        <w:t xml:space="preserve"> : </w:t>
      </w:r>
      <w:hyperlink r:id="rId35" w:history="1">
        <w:r>
          <w:rPr>
            <w:rStyle w:val="Lienhypertexte"/>
          </w:rPr>
          <w:t>Elections 2016 / 2017 : quelles règles doivent respecter les candidats et partis ?</w:t>
        </w:r>
      </w:hyperlink>
      <w:r>
        <w:t xml:space="preserve"> . </w:t>
      </w:r>
      <w:hyperlink r:id="rId36" w:history="1">
        <w:r>
          <w:rPr>
            <w:rStyle w:val="Lienhypertexte"/>
          </w:rPr>
          <w:t>De nombreuses fiches pratiques</w:t>
        </w:r>
      </w:hyperlink>
      <w:r>
        <w:t xml:space="preserve"> sont disponibles pour les candidats et partis sur le site de la CNIL, dans un </w:t>
      </w:r>
      <w:hyperlink r:id="rId37" w:history="1">
        <w:r>
          <w:rPr>
            <w:rStyle w:val="Lienhypertexte"/>
          </w:rPr>
          <w:t>dossier dédié à la communication politique</w:t>
        </w:r>
      </w:hyperlink>
      <w:r>
        <w:t>. Les deux régulateurs publient  </w:t>
      </w:r>
      <w:hyperlink r:id="rId38" w:tgtFrame="_blank" w:tooltip="Guide CNIL et CSA" w:history="1">
        <w:r>
          <w:rPr>
            <w:rStyle w:val="Lienhypertexte"/>
          </w:rPr>
          <w:t>un guide commun</w:t>
        </w:r>
      </w:hyperlink>
      <w:r>
        <w:t xml:space="preserve"> pour rappeler les principes élémentaires des lois relatives à la liberté de </w:t>
      </w:r>
      <w:proofErr w:type="gramStart"/>
      <w:r>
        <w:t>communication applicables</w:t>
      </w:r>
      <w:proofErr w:type="gramEnd"/>
      <w:r>
        <w:t xml:space="preserve">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Default="00335B92" w:rsidP="00335B92">
      <w:pPr>
        <w:ind w:firstLine="426"/>
        <w:jc w:val="both"/>
        <w:rPr>
          <w:sz w:val="18"/>
        </w:rPr>
      </w:pPr>
      <w:hyperlink r:id="rId39" w:history="1">
        <w:r w:rsidRPr="00E61C78">
          <w:rPr>
            <w:rStyle w:val="Lienhypertexte"/>
            <w:sz w:val="18"/>
          </w:rPr>
          <w:t>https://www.cnil.fr/fr/tag/Elections</w:t>
        </w:r>
      </w:hyperlink>
      <w:r>
        <w:rPr>
          <w:sz w:val="18"/>
        </w:rPr>
        <w:t xml:space="preserve"> </w:t>
      </w:r>
    </w:p>
    <w:p w:rsidR="00335B92" w:rsidRDefault="00335B92" w:rsidP="00335B92">
      <w:pPr>
        <w:pStyle w:val="Titre2"/>
      </w:pPr>
      <w:r>
        <w:t>Les opinions politiques, des données sensibles</w:t>
      </w:r>
    </w:p>
    <w:p w:rsidR="00335B92" w:rsidRDefault="00335B92" w:rsidP="00335B92">
      <w:pPr>
        <w:pStyle w:val="NormalWeb"/>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335B92" w:rsidRDefault="00335B92" w:rsidP="00335B92">
      <w:pPr>
        <w:pStyle w:val="Titre2"/>
      </w:pPr>
      <w:r>
        <w:t>L’accompagnement des professionnels</w:t>
      </w:r>
    </w:p>
    <w:p w:rsidR="00335B92" w:rsidRDefault="00335B92" w:rsidP="00335B92">
      <w:pPr>
        <w:pStyle w:val="NormalWeb"/>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335B92" w:rsidRDefault="00335B92" w:rsidP="00335B92">
      <w:pPr>
        <w:pStyle w:val="NormalWeb"/>
      </w:pPr>
      <w:hyperlink r:id="rId40" w:history="1">
        <w:r>
          <w:rPr>
            <w:rStyle w:val="Lienhypertexte"/>
          </w:rPr>
          <w:t>De nombreuses fiches pratiques</w:t>
        </w:r>
      </w:hyperlink>
      <w:r>
        <w:t xml:space="preserve"> sont disponibles pour les candidats et partis sur le site de la CNIL, dans un </w:t>
      </w:r>
      <w:hyperlink r:id="rId41" w:history="1">
        <w:r>
          <w:rPr>
            <w:rStyle w:val="Lienhypertexte"/>
          </w:rPr>
          <w:t>dossier dédié à la communication politique</w:t>
        </w:r>
      </w:hyperlink>
      <w:r>
        <w:t>.</w:t>
      </w:r>
    </w:p>
    <w:p w:rsidR="00335B92" w:rsidRDefault="00335B92" w:rsidP="00335B92">
      <w:pPr>
        <w:pStyle w:val="Titre2"/>
      </w:pPr>
      <w:r>
        <w:t>Le guide CSA/CNIL</w:t>
      </w:r>
    </w:p>
    <w:p w:rsidR="00335B92" w:rsidRDefault="00335B92" w:rsidP="00335B92">
      <w:pPr>
        <w:pStyle w:val="NormalWeb"/>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rsidR="00335B92" w:rsidRDefault="00335B92" w:rsidP="00335B92">
      <w:pPr>
        <w:pStyle w:val="NormalWeb"/>
      </w:pPr>
      <w:r>
        <w:t>En effet, les deux régulateurs publient  </w:t>
      </w:r>
      <w:hyperlink r:id="rId42"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Default="00335B92" w:rsidP="00335B92">
      <w:pPr>
        <w:pStyle w:val="Titre2"/>
      </w:pPr>
      <w:r>
        <w:t>Les élections primaires de 2016/2017</w:t>
      </w:r>
    </w:p>
    <w:p w:rsidR="00335B92" w:rsidRDefault="00335B92" w:rsidP="00335B92">
      <w:pPr>
        <w:pStyle w:val="NormalWeb"/>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335B92" w:rsidRDefault="00335B92" w:rsidP="00335B92">
      <w:pPr>
        <w:pStyle w:val="NormalWeb"/>
      </w:pPr>
      <w:r>
        <w:t xml:space="preserve">L’organisation, par un ou plusieurs partis politiques, d’une consultation ouverte à l’ensemble des électeurs (dite « primaire ouverte ») </w:t>
      </w:r>
      <w:hyperlink r:id="rId43"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w:t>
      </w:r>
      <w:r>
        <w:lastRenderedPageBreak/>
        <w:t xml:space="preserve">fichiers mis en œuvre à cette fin, comme elle l’avait fait à l’occasion des primaires </w:t>
      </w:r>
      <w:proofErr w:type="gramStart"/>
      <w:r>
        <w:t>organisées</w:t>
      </w:r>
      <w:proofErr w:type="gramEnd"/>
      <w:r>
        <w:t xml:space="preserve"> par le PS en 2012.</w:t>
      </w:r>
    </w:p>
    <w:p w:rsidR="00335B92" w:rsidRDefault="00335B92" w:rsidP="00335B92">
      <w:pPr>
        <w:pStyle w:val="Titre2"/>
      </w:pPr>
      <w:r>
        <w:t>L’utilisation des données issues des réseaux sociaux</w:t>
      </w:r>
    </w:p>
    <w:p w:rsidR="00335B92" w:rsidRDefault="00335B92" w:rsidP="00335B92">
      <w:pPr>
        <w:pStyle w:val="NormalWeb"/>
      </w:pPr>
      <w:r>
        <w:t>En prévision des élections à venir, la CNIL a conduit, de mars à juin 2016, des auditions des principaux prestataires de logiciels de stratégie électorale auxquels les candidats et partis français ont recours de façon croissante.</w:t>
      </w:r>
    </w:p>
    <w:p w:rsidR="00335B92" w:rsidRDefault="00335B92" w:rsidP="00335B92">
      <w:pPr>
        <w:pStyle w:val="NormalWeb"/>
      </w:pPr>
      <w:r>
        <w:rPr>
          <w:rStyle w:val="lev"/>
        </w:rPr>
        <w:t xml:space="preserve">Ces logiciels poursuivent en général deux objectifs : </w:t>
      </w:r>
    </w:p>
    <w:p w:rsidR="00335B92" w:rsidRDefault="00335B92" w:rsidP="00335B92">
      <w:pPr>
        <w:numPr>
          <w:ilvl w:val="0"/>
          <w:numId w:val="2"/>
        </w:numPr>
        <w:spacing w:before="100" w:beforeAutospacing="1" w:after="100" w:afterAutospacing="1"/>
      </w:pPr>
      <w:r>
        <w:t>améliorer la communication politique en affinant les profils des contacts ou prospects par la collecte et le traitement de données plus nombreuses et plus précises et l’enrichissement de base de données ;</w:t>
      </w:r>
    </w:p>
    <w:p w:rsidR="00335B92" w:rsidRDefault="00335B92" w:rsidP="00335B92">
      <w:pPr>
        <w:numPr>
          <w:ilvl w:val="0"/>
          <w:numId w:val="2"/>
        </w:numPr>
        <w:spacing w:before="100" w:beforeAutospacing="1" w:after="100" w:afterAutospacing="1"/>
      </w:pPr>
      <w:r>
        <w:t>passer d’une prospection ciblée en ligne à une prospection ciblée en face-à-face.</w:t>
      </w:r>
    </w:p>
    <w:p w:rsidR="00335B92" w:rsidRDefault="00335B92" w:rsidP="00335B92">
      <w:pPr>
        <w:pStyle w:val="NormalWeb"/>
      </w:pPr>
      <w:r>
        <w:t>Dans les deux cas, les données disponibles sur les profils publics des réseaux sociaux peuvent être utilisées par ces prestataires.</w:t>
      </w:r>
    </w:p>
    <w:p w:rsidR="00335B92" w:rsidRDefault="00335B92" w:rsidP="00335B92">
      <w:pPr>
        <w:pStyle w:val="NormalWeb"/>
      </w:pPr>
      <w:hyperlink r:id="rId44" w:history="1">
        <w:r>
          <w:rPr>
            <w:rStyle w:val="Lienhypertexte"/>
          </w:rPr>
          <w:t>La CNIL a donc souhaité approfondir l’analyse de ces nouveaux outils au regard de la loi Informatique et Libertés</w:t>
        </w:r>
      </w:hyperlink>
      <w:r>
        <w:t xml:space="preserve"> et préciser les conditions dans lesquelles ces données issues des réseaux sociaux peuvent être utilisées.</w:t>
      </w:r>
      <w:r>
        <w:rPr>
          <w:rStyle w:val="lev"/>
        </w:rPr>
        <w:t xml:space="preserve"> Il apparaît notamment que le « </w:t>
      </w:r>
      <w:proofErr w:type="spellStart"/>
      <w:r>
        <w:rPr>
          <w:rStyle w:val="lev"/>
        </w:rPr>
        <w:t>crawling</w:t>
      </w:r>
      <w:proofErr w:type="spellEnd"/>
      <w:r>
        <w:rPr>
          <w:rStyle w:val="lev"/>
        </w:rPr>
        <w:t xml:space="preserve"> » des réseaux sociaux par les logiciels, aux fins de collecte et de traitement de données disponibles publiquement, n’est pas légal en l’absence d’information des personnes. </w:t>
      </w:r>
    </w:p>
    <w:p w:rsidR="00335B92" w:rsidRDefault="00335B92" w:rsidP="00335B92">
      <w:pPr>
        <w:pStyle w:val="NormalWeb"/>
      </w:pPr>
      <w:r>
        <w:t>Ces règles seront prochainement présentées aux prestataires de logiciels.</w:t>
      </w:r>
    </w:p>
    <w:p w:rsidR="00335B92" w:rsidRDefault="00335B92" w:rsidP="00335B92">
      <w:pPr>
        <w:pStyle w:val="Titre2"/>
      </w:pPr>
      <w:r>
        <w:t>L’Observatoire des élections</w:t>
      </w:r>
    </w:p>
    <w:p w:rsidR="00335B92" w:rsidRDefault="00335B92" w:rsidP="00335B92">
      <w:pPr>
        <w:pStyle w:val="NormalWeb"/>
      </w:pPr>
      <w:r>
        <w:t>La CNIL a mis en place en 2012 un observatoire des élections, qui a pour missions :</w:t>
      </w:r>
    </w:p>
    <w:p w:rsidR="00335B92" w:rsidRDefault="00335B92" w:rsidP="00335B92">
      <w:pPr>
        <w:numPr>
          <w:ilvl w:val="0"/>
          <w:numId w:val="3"/>
        </w:numPr>
        <w:spacing w:before="100" w:beforeAutospacing="1" w:after="100" w:afterAutospacing="1"/>
      </w:pPr>
      <w:r>
        <w:t>d’informer les électeurs de leurs droits « Informatique et Libertés » ;</w:t>
      </w:r>
    </w:p>
    <w:p w:rsidR="00335B92" w:rsidRDefault="00335B92" w:rsidP="00335B92">
      <w:pPr>
        <w:numPr>
          <w:ilvl w:val="0"/>
          <w:numId w:val="3"/>
        </w:numPr>
        <w:spacing w:before="100" w:beforeAutospacing="1" w:after="100" w:afterAutospacing="1"/>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45" w:history="1">
        <w:r>
          <w:rPr>
            <w:rStyle w:val="Lienhypertexte"/>
          </w:rPr>
          <w:t xml:space="preserve">signaler à la CNIL des pratiques observées sur le terrain </w:t>
        </w:r>
      </w:hyperlink>
      <w:r>
        <w:t>qui posent question.</w:t>
      </w:r>
    </w:p>
    <w:p w:rsidR="00335B92" w:rsidRDefault="00335B92" w:rsidP="00335B92">
      <w:pPr>
        <w:numPr>
          <w:ilvl w:val="0"/>
          <w:numId w:val="3"/>
        </w:numPr>
        <w:spacing w:before="100" w:beforeAutospacing="1" w:after="100" w:afterAutospacing="1"/>
      </w:pPr>
      <w:r>
        <w:t>d’accompagner les partis et les candidats dans la mise en place de leurs opérations de communication politique, en leur fournissant des outils et conseils pratiques pour se conformer à la loi « Informatique et Libertés » ;</w:t>
      </w:r>
    </w:p>
    <w:p w:rsidR="00335B92" w:rsidRDefault="00335B92" w:rsidP="00335B92">
      <w:pPr>
        <w:numPr>
          <w:ilvl w:val="0"/>
          <w:numId w:val="3"/>
        </w:numPr>
        <w:spacing w:before="100" w:beforeAutospacing="1" w:after="100" w:afterAutospacing="1"/>
      </w:pPr>
      <w:r>
        <w:t>de proposer des pistes d'amélioration aux pouvoirs publics s'agissant du cadre juridique existant en matière de protection des données personnelles traitées à des fins de communication politique.</w:t>
      </w:r>
    </w:p>
    <w:p w:rsidR="00335B92" w:rsidRDefault="00335B92" w:rsidP="00335B92">
      <w:r>
        <w:t xml:space="preserve">Document </w:t>
      </w:r>
      <w:proofErr w:type="spellStart"/>
      <w:r>
        <w:t>reference</w:t>
      </w:r>
      <w:proofErr w:type="spellEnd"/>
    </w:p>
    <w:p w:rsidR="00335B92" w:rsidRDefault="00335B92" w:rsidP="00335B92">
      <w:pPr>
        <w:pStyle w:val="Titre2"/>
      </w:pPr>
      <w:r>
        <w:rPr>
          <w:rStyle w:val="ctn-gen-documents-titre"/>
        </w:rPr>
        <w:t>Guide CSA/ CNIL</w:t>
      </w:r>
    </w:p>
    <w:p w:rsidR="00335B92" w:rsidRDefault="00335B92" w:rsidP="00335B92">
      <w:pPr>
        <w:pStyle w:val="NormalWeb"/>
      </w:pPr>
      <w:r>
        <w:t>Campagnes électorales : tout savoir sur les règles CSA et CNIL</w:t>
      </w:r>
    </w:p>
    <w:p w:rsidR="00335B92" w:rsidRDefault="00335B92" w:rsidP="00335B92">
      <w:r>
        <w:rPr>
          <w:noProof/>
          <w:lang w:eastAsia="fr-FR"/>
        </w:rPr>
        <mc:AlternateContent>
          <mc:Choice Requires="wps">
            <w:drawing>
              <wp:inline distT="0" distB="0" distL="0" distR="0">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46" w:tgtFrame="_blank" w:tooltip="guide_cnil_et_csa.pdf" w:history="1">
        <w:r>
          <w:rPr>
            <w:rStyle w:val="Lienhypertexte"/>
          </w:rPr>
          <w:t>Guide CNIL et CSA</w:t>
        </w:r>
      </w:hyperlink>
      <w:r>
        <w:t xml:space="preserve"> : </w:t>
      </w:r>
      <w:hyperlink r:id="rId47" w:history="1">
        <w:r w:rsidRPr="007C76DC">
          <w:rPr>
            <w:rStyle w:val="Lienhypertexte"/>
          </w:rPr>
          <w:t>https://www.cnil.fr/sites/default/files/atoms/files/guide_cnil_et_csa.pdf</w:t>
        </w:r>
      </w:hyperlink>
      <w:r>
        <w:t xml:space="preserve"> </w:t>
      </w:r>
    </w:p>
    <w:p w:rsidR="00335B92" w:rsidRDefault="00335B92" w:rsidP="00335B92">
      <w:proofErr w:type="gramStart"/>
      <w:r>
        <w:t>[ PDF</w:t>
      </w:r>
      <w:proofErr w:type="gramEnd"/>
      <w:r>
        <w:t>-2.83 Mo]</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Quels fichiers publics un candidat peut-il utiliser à des fins de communication politique ?</w:t>
      </w:r>
    </w:p>
    <w:p w:rsidR="00335B92" w:rsidRDefault="00335B92" w:rsidP="00335B92">
      <w:r>
        <w:t>14 mars 2014</w:t>
      </w:r>
    </w:p>
    <w:p w:rsidR="00335B92" w:rsidRDefault="00335B92" w:rsidP="00335B92">
      <w:r>
        <w:pict>
          <v:rect id="_x0000_i1028" style="width:0;height:1.5pt" o:hralign="center" o:hrstd="t" o:hr="t" fillcolor="gray" stroked="f"/>
        </w:pict>
      </w:r>
    </w:p>
    <w:p w:rsidR="00335B92" w:rsidRDefault="00335B92" w:rsidP="00335B92">
      <w:pPr>
        <w:pStyle w:val="NormalWeb"/>
        <w:rPr>
          <w:sz w:val="36"/>
          <w:szCs w:val="36"/>
        </w:rPr>
      </w:pPr>
      <w:r>
        <w:rPr>
          <w:sz w:val="36"/>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335B92" w:rsidRDefault="00335B92" w:rsidP="00335B92">
      <w:pPr>
        <w:pStyle w:val="NormalWeb"/>
        <w:rPr>
          <w:sz w:val="27"/>
          <w:szCs w:val="27"/>
        </w:rPr>
      </w:pPr>
      <w:r>
        <w:rPr>
          <w:sz w:val="27"/>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Pr>
          <w:rStyle w:val="lev"/>
          <w:sz w:val="27"/>
          <w:szCs w:val="27"/>
        </w:rPr>
        <w:t>ne peuvent, en aucun cas, être utilisées à des fins de communication politique</w:t>
      </w:r>
      <w:r>
        <w:rPr>
          <w:sz w:val="27"/>
          <w:szCs w:val="27"/>
        </w:rPr>
        <w:t>. Cette pratique, susceptible de constituer le délit pénal de détournement de finalité, est strictement interdite par la loi. Elle est passible de 5 ans d’emprisonnement et de 300 000 € d’amende (</w:t>
      </w:r>
      <w:hyperlink r:id="rId48" w:tgtFrame="_blank" w:tooltip="Légifrance - Nouvelle fenêtre" w:history="1">
        <w:r>
          <w:rPr>
            <w:rStyle w:val="Lienhypertexte"/>
            <w:sz w:val="27"/>
            <w:szCs w:val="27"/>
          </w:rPr>
          <w:t>article 226-21 du Code pénal</w:t>
        </w:r>
      </w:hyperlink>
      <w:r>
        <w:rPr>
          <w:sz w:val="27"/>
          <w:szCs w:val="27"/>
        </w:rPr>
        <w:t xml:space="preserve">), en plus des éventuelles sanctions que peut prononcer la CNIL. </w:t>
      </w:r>
      <w:r>
        <w:rPr>
          <w:rStyle w:val="lev"/>
          <w:sz w:val="27"/>
          <w:szCs w:val="27"/>
        </w:rPr>
        <w:t xml:space="preserve">Les candidats ne peuvent donc pas utiliser à des fins de communication politique : </w:t>
      </w:r>
    </w:p>
    <w:p w:rsidR="00335B92" w:rsidRDefault="00335B92" w:rsidP="00335B92">
      <w:pPr>
        <w:numPr>
          <w:ilvl w:val="0"/>
          <w:numId w:val="4"/>
        </w:numPr>
        <w:spacing w:before="100" w:beforeAutospacing="1" w:after="100" w:afterAutospacing="1"/>
      </w:pPr>
      <w:r>
        <w:t>le fichier de gestion de l’état civil ;</w:t>
      </w:r>
    </w:p>
    <w:p w:rsidR="00335B92" w:rsidRDefault="00335B92" w:rsidP="00335B92">
      <w:pPr>
        <w:numPr>
          <w:ilvl w:val="0"/>
          <w:numId w:val="4"/>
        </w:numPr>
        <w:spacing w:before="100" w:beforeAutospacing="1" w:after="100" w:afterAutospacing="1"/>
      </w:pPr>
      <w:r>
        <w:t>les annuaires constitués à des fins de communication institutionnelle (abonnés à la lettre d’actualité de la commune, fichier facultatif recensant les nouveaux arrivants, etc.) ;</w:t>
      </w:r>
    </w:p>
    <w:p w:rsidR="00335B92" w:rsidRDefault="00335B92" w:rsidP="00335B92">
      <w:pPr>
        <w:numPr>
          <w:ilvl w:val="0"/>
          <w:numId w:val="4"/>
        </w:numPr>
        <w:spacing w:before="100" w:beforeAutospacing="1" w:after="100" w:afterAutospacing="1"/>
      </w:pPr>
      <w:r>
        <w:t>les fichiers d’aide sociale de la collectivité (fichier « alerte à la population », fichier des demandeurs de logements sociaux, fichier du centre communal d’action sociale, etc.) ;</w:t>
      </w:r>
    </w:p>
    <w:p w:rsidR="00335B92" w:rsidRDefault="00335B92" w:rsidP="00335B92">
      <w:pPr>
        <w:numPr>
          <w:ilvl w:val="0"/>
          <w:numId w:val="4"/>
        </w:numPr>
        <w:spacing w:before="100" w:beforeAutospacing="1" w:after="100" w:afterAutospacing="1"/>
      </w:pPr>
      <w:r>
        <w:t>le fichier des inscriptions scolaires ;</w:t>
      </w:r>
    </w:p>
    <w:p w:rsidR="00335B92" w:rsidRDefault="00335B92" w:rsidP="00335B92">
      <w:pPr>
        <w:numPr>
          <w:ilvl w:val="0"/>
          <w:numId w:val="4"/>
        </w:numPr>
        <w:spacing w:before="100" w:beforeAutospacing="1" w:after="100" w:afterAutospacing="1"/>
      </w:pPr>
      <w:r>
        <w:t>les bases du service fiscal de la mairie, tenues pour l’établissement de taxes et redevances ;</w:t>
      </w:r>
    </w:p>
    <w:p w:rsidR="00335B92" w:rsidRDefault="00335B92" w:rsidP="00335B92">
      <w:pPr>
        <w:numPr>
          <w:ilvl w:val="0"/>
          <w:numId w:val="4"/>
        </w:numPr>
        <w:spacing w:before="100" w:beforeAutospacing="1" w:after="100" w:afterAutospacing="1"/>
      </w:pPr>
      <w:r>
        <w:t>les formulaires de recensement de la population (seul l’INSEE peut être destinataire de ces informations qui sont couvertes par le secret statistique).</w:t>
      </w:r>
    </w:p>
    <w:p w:rsidR="00335B92" w:rsidRDefault="00335B92" w:rsidP="00335B92">
      <w:pPr>
        <w:pStyle w:val="NormalWeb"/>
        <w:rPr>
          <w:sz w:val="27"/>
          <w:szCs w:val="27"/>
        </w:rPr>
      </w:pPr>
      <w:r>
        <w:rPr>
          <w:rStyle w:val="lev"/>
          <w:sz w:val="27"/>
          <w:szCs w:val="27"/>
        </w:rPr>
        <w:t>Cette interdiction concerne également l’annuaire des agents de la commune et la messagerie professionnelle mise à la disposition des élus.</w:t>
      </w:r>
      <w:r>
        <w:rPr>
          <w:sz w:val="27"/>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335B92" w:rsidRDefault="00335B92" w:rsidP="00335B92">
      <w:pPr>
        <w:pStyle w:val="NormalWeb"/>
        <w:rPr>
          <w:sz w:val="27"/>
          <w:szCs w:val="27"/>
        </w:rPr>
      </w:pPr>
      <w:r>
        <w:rPr>
          <w:sz w:val="27"/>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335B92" w:rsidRDefault="00335B92" w:rsidP="00335B92">
      <w:pPr>
        <w:pStyle w:val="NormalWeb"/>
        <w:rPr>
          <w:sz w:val="27"/>
          <w:szCs w:val="27"/>
        </w:rPr>
      </w:pPr>
      <w:r>
        <w:rPr>
          <w:rStyle w:val="lev"/>
          <w:sz w:val="27"/>
          <w:szCs w:val="27"/>
        </w:rPr>
        <w:lastRenderedPageBreak/>
        <w:t>Cette règle connaît néanmoins deux exceptions :</w:t>
      </w:r>
      <w:r>
        <w:rPr>
          <w:sz w:val="27"/>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49" w:tgtFrame="_blank" w:tooltip="Guide communication politique : obligations légales et bonnes pratiques" w:history="1">
        <w:r>
          <w:rPr>
            <w:rStyle w:val="Lienhypertexte"/>
            <w:sz w:val="27"/>
            <w:szCs w:val="27"/>
          </w:rPr>
          <w:t>cf. sur ce point la fiche n° 5 du guide « Communication politique »</w:t>
        </w:r>
      </w:hyperlink>
      <w:r>
        <w:rPr>
          <w:sz w:val="27"/>
          <w:szCs w:val="27"/>
        </w:rPr>
        <w:t> )</w:t>
      </w:r>
    </w:p>
    <w:p w:rsidR="00335B92" w:rsidRDefault="00335B92" w:rsidP="00335B92">
      <w:pPr>
        <w:pStyle w:val="NormalWeb"/>
        <w:rPr>
          <w:sz w:val="27"/>
          <w:szCs w:val="27"/>
        </w:rPr>
      </w:pPr>
      <w:r>
        <w:rPr>
          <w:sz w:val="27"/>
          <w:szCs w:val="27"/>
        </w:rPr>
        <w:t xml:space="preserve">Pour obtenir communication de la liste électorale, un candidat doit utiliser un papier à en-tête autre que celui de sa collectivité et signer en sa qualité de personnalité politique, et non d’élu (Voir </w:t>
      </w:r>
      <w:hyperlink r:id="rId50" w:tgtFrame="_blank" w:tooltip="L’utilisation des fichiers pour la communication politique" w:history="1">
        <w:r>
          <w:rPr>
            <w:rStyle w:val="Lienhypertexte"/>
            <w:sz w:val="27"/>
            <w:szCs w:val="27"/>
          </w:rPr>
          <w:t>Le Courrier des maires,  n° 256 avril 2012</w:t>
        </w:r>
      </w:hyperlink>
      <w:r>
        <w:rPr>
          <w:sz w:val="27"/>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51" w:tgtFrame="_blank" w:tooltip="Guide communication politique : obligations légales et bonnes pratiques" w:history="1">
        <w:r>
          <w:rPr>
            <w:rStyle w:val="Lienhypertexte"/>
            <w:sz w:val="27"/>
            <w:szCs w:val="27"/>
          </w:rPr>
          <w:t>guide pratique « communication politique », p. 32</w:t>
        </w:r>
      </w:hyperlink>
      <w:r>
        <w:rPr>
          <w:sz w:val="27"/>
          <w:szCs w:val="27"/>
        </w:rPr>
        <w:t>. La CNIL recommande d’indiquer aux destinataires d’un message de communication politique l’origine des données utilisées pour le leur adresser (par exemple, la liste électorale).</w:t>
      </w:r>
    </w:p>
    <w:p w:rsidR="00335B92" w:rsidRDefault="00335B92" w:rsidP="00335B92">
      <w:pPr>
        <w:pStyle w:val="NormalWeb"/>
        <w:rPr>
          <w:sz w:val="27"/>
          <w:szCs w:val="27"/>
        </w:rPr>
      </w:pPr>
      <w:r>
        <w:rPr>
          <w:sz w:val="27"/>
          <w:szCs w:val="27"/>
        </w:rPr>
        <w:t>Elle rappelle que, dans tous les cas, les destinataires des messages de communication politique peuvent, par l’intermédiaire de l’exercice de leur droit d’accès (</w:t>
      </w:r>
      <w:hyperlink r:id="rId52" w:anchor="Article39" w:tgtFrame="_blank" w:history="1">
        <w:r>
          <w:rPr>
            <w:rStyle w:val="Lienhypertexte"/>
            <w:sz w:val="27"/>
            <w:szCs w:val="27"/>
          </w:rPr>
          <w:t>article 39 de la loi informatique et libertés</w:t>
        </w:r>
      </w:hyperlink>
      <w:r>
        <w:rPr>
          <w:sz w:val="27"/>
          <w:szCs w:val="27"/>
        </w:rPr>
        <w:t>), interroger leur expéditeur afin d’obtenir toute information concernant l’origine des informations utilisées pour les leur adresser. Le fait de ne pas répondre à une demande de droit d’accès constitue une infraction pénale (</w:t>
      </w:r>
      <w:hyperlink r:id="rId53" w:tgtFrame="_blank" w:tooltip="Légifrance- Nouvelle fenêtre" w:history="1">
        <w:r>
          <w:rPr>
            <w:rStyle w:val="Lienhypertexte"/>
            <w:sz w:val="27"/>
            <w:szCs w:val="27"/>
          </w:rPr>
          <w:t>article R. 625-11 du Code pénal</w:t>
        </w:r>
      </w:hyperlink>
      <w:r>
        <w:rPr>
          <w:sz w:val="27"/>
          <w:szCs w:val="27"/>
        </w:rPr>
        <w:t>).</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Quels fichiers privés un candidat ou un parti peut-il utiliser à des fins de communication politique ?</w:t>
      </w:r>
    </w:p>
    <w:p w:rsidR="00335B92" w:rsidRDefault="00335B92" w:rsidP="00335B92">
      <w:r>
        <w:t>01 mars 2015</w:t>
      </w:r>
    </w:p>
    <w:p w:rsidR="00335B92" w:rsidRDefault="00335B92" w:rsidP="00335B92">
      <w:r>
        <w:pict>
          <v:rect id="_x0000_i1031" style="width:0;height:1.5pt" o:hralign="center" o:hrstd="t" o:hr="t" fillcolor="gray" stroked="f"/>
        </w:pict>
      </w:r>
    </w:p>
    <w:p w:rsidR="00335B92" w:rsidRDefault="00335B92" w:rsidP="00335B92">
      <w:pPr>
        <w:pStyle w:val="NormalWeb"/>
        <w:rPr>
          <w:sz w:val="36"/>
          <w:szCs w:val="36"/>
        </w:rPr>
      </w:pPr>
      <w:r>
        <w:rPr>
          <w:sz w:val="36"/>
          <w:szCs w:val="36"/>
        </w:rPr>
        <w:t xml:space="preserve">Surpris de recevoir des messages politiques de candidats ou de partis politiques, des particuliers interrogent régulièrement la CNIL sur l’origine des données utilisées pour les contacter. </w:t>
      </w:r>
    </w:p>
    <w:p w:rsidR="00335B92" w:rsidRDefault="00335B92" w:rsidP="00335B92">
      <w:pPr>
        <w:pStyle w:val="NormalWeb"/>
        <w:rPr>
          <w:sz w:val="27"/>
          <w:szCs w:val="27"/>
        </w:rPr>
      </w:pPr>
      <w:r>
        <w:rPr>
          <w:sz w:val="27"/>
          <w:szCs w:val="27"/>
        </w:rPr>
        <w:t>À côté des fichiers publics comme la liste électorale, ces données peuvent également être issues de fichiers du secteur privé. </w:t>
      </w:r>
    </w:p>
    <w:p w:rsidR="00335B92" w:rsidRDefault="00335B92" w:rsidP="00335B92">
      <w:pPr>
        <w:pStyle w:val="Titre2"/>
        <w:rPr>
          <w:sz w:val="48"/>
          <w:szCs w:val="48"/>
        </w:rPr>
      </w:pPr>
      <w:r>
        <w:rPr>
          <w:sz w:val="48"/>
          <w:szCs w:val="48"/>
        </w:rPr>
        <w:t>Les fichiers permettant de vous contacter directement en dehors de toute démarche de votre part :</w:t>
      </w:r>
    </w:p>
    <w:p w:rsidR="00335B92" w:rsidRDefault="00335B92" w:rsidP="00335B92">
      <w:pPr>
        <w:pStyle w:val="Titre3"/>
        <w:rPr>
          <w:sz w:val="27"/>
          <w:szCs w:val="27"/>
        </w:rPr>
      </w:pPr>
      <w:r>
        <w:t>L’annuaire universel</w:t>
      </w:r>
    </w:p>
    <w:p w:rsidR="00335B92" w:rsidRDefault="00335B92" w:rsidP="00335B92">
      <w:pPr>
        <w:pStyle w:val="NormalWeb"/>
        <w:rPr>
          <w:sz w:val="27"/>
          <w:szCs w:val="27"/>
        </w:rPr>
      </w:pPr>
      <w:r>
        <w:rPr>
          <w:sz w:val="27"/>
          <w:szCs w:val="27"/>
        </w:rPr>
        <w:t xml:space="preserve">Ce fichier comporte </w:t>
      </w:r>
      <w:proofErr w:type="gramStart"/>
      <w:r>
        <w:rPr>
          <w:sz w:val="27"/>
          <w:szCs w:val="27"/>
        </w:rPr>
        <w:t>les nom</w:t>
      </w:r>
      <w:proofErr w:type="gramEnd"/>
      <w:r>
        <w:rPr>
          <w:sz w:val="27"/>
          <w:szCs w:val="27"/>
        </w:rPr>
        <w:t xml:space="preserve">,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w:t>
      </w:r>
      <w:proofErr w:type="gramStart"/>
      <w:r>
        <w:rPr>
          <w:sz w:val="27"/>
          <w:szCs w:val="27"/>
        </w:rPr>
        <w:t>accompagnées</w:t>
      </w:r>
      <w:proofErr w:type="gramEnd"/>
      <w:r>
        <w:rPr>
          <w:sz w:val="27"/>
          <w:szCs w:val="27"/>
        </w:rPr>
        <w:t xml:space="preserve"> d’un pictogramme (Opposé au marketing direct) informant que vous ne souhaitez pas que vos coordonnées puissent être réutilisées à des fins de prospection, y compris politique.</w:t>
      </w:r>
    </w:p>
    <w:p w:rsidR="00335B92" w:rsidRDefault="00335B92" w:rsidP="00335B92">
      <w:pPr>
        <w:pStyle w:val="Titre3"/>
        <w:rPr>
          <w:sz w:val="27"/>
          <w:szCs w:val="27"/>
        </w:rPr>
      </w:pPr>
      <w:r>
        <w:t>Les fichiers de clients ou de prospects achetés ou loués auprès de sociétés commerciales </w:t>
      </w:r>
    </w:p>
    <w:p w:rsidR="00335B92" w:rsidRDefault="00335B92" w:rsidP="00335B92">
      <w:pPr>
        <w:pStyle w:val="NormalWeb"/>
        <w:rPr>
          <w:sz w:val="27"/>
          <w:szCs w:val="27"/>
        </w:rPr>
      </w:pPr>
      <w:r>
        <w:rPr>
          <w:sz w:val="27"/>
          <w:szCs w:val="27"/>
        </w:rPr>
        <w:t xml:space="preserve">(cf. fiche n°8 du </w:t>
      </w:r>
      <w:hyperlink r:id="rId54" w:tgtFrame="_blank" w:tooltip="Guide communication politique : obligations légales et bonnes pratiques" w:history="1">
        <w:r>
          <w:rPr>
            <w:rStyle w:val="Lienhypertexte"/>
            <w:sz w:val="27"/>
            <w:szCs w:val="27"/>
          </w:rPr>
          <w:t>guide pratique « communication politique »</w:t>
        </w:r>
      </w:hyperlink>
      <w:r>
        <w:rPr>
          <w:sz w:val="27"/>
          <w:szCs w:val="27"/>
        </w:rPr>
        <w:t>,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parfaite connaissance de cause, la CNIL recommande de distinguer les différentes catégories de partenaires selon qu’ils sont commerciaux, politiques, religieux, etc. Ces réflexions résumées sous l’expression « </w:t>
      </w:r>
      <w:proofErr w:type="spellStart"/>
      <w:r>
        <w:rPr>
          <w:sz w:val="27"/>
          <w:szCs w:val="27"/>
        </w:rPr>
        <w:t>opt</w:t>
      </w:r>
      <w:proofErr w:type="spellEnd"/>
      <w:r>
        <w:rPr>
          <w:sz w:val="27"/>
          <w:szCs w:val="27"/>
        </w:rPr>
        <w:t xml:space="preserve">-in partenaires » relayent les préconisations constantes de la Commission en matière de prospection, et tout particulièrement en matière de prospection par voie électronique. Vous devez être informé de </w:t>
      </w:r>
      <w:r>
        <w:rPr>
          <w:sz w:val="27"/>
          <w:szCs w:val="27"/>
        </w:rPr>
        <w:lastRenderedPageBreak/>
        <w:t xml:space="preserve">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55" w:tgtFrame="_blank" w:tooltip="Guide communication politique : obligations légales et bonnes pratiques" w:history="1">
        <w:r>
          <w:rPr>
            <w:rStyle w:val="Lienhypertexte"/>
            <w:sz w:val="27"/>
            <w:szCs w:val="27"/>
          </w:rPr>
          <w:t>guide pratique « communication politique »</w:t>
        </w:r>
      </w:hyperlink>
      <w:r>
        <w:rPr>
          <w:sz w:val="27"/>
          <w:szCs w:val="27"/>
        </w:rPr>
        <w:t>, p. 33 à 46.</w:t>
      </w:r>
    </w:p>
    <w:p w:rsidR="00335B92" w:rsidRDefault="00335B92" w:rsidP="00335B92">
      <w:pPr>
        <w:pStyle w:val="Titre2"/>
        <w:rPr>
          <w:sz w:val="48"/>
          <w:szCs w:val="48"/>
        </w:rPr>
      </w:pPr>
      <w:r>
        <w:rPr>
          <w:sz w:val="48"/>
          <w:szCs w:val="48"/>
        </w:rPr>
        <w:t>Les pratiques interdites :</w:t>
      </w:r>
    </w:p>
    <w:p w:rsidR="00335B92" w:rsidRDefault="00335B92" w:rsidP="00335B92">
      <w:pPr>
        <w:numPr>
          <w:ilvl w:val="0"/>
          <w:numId w:val="5"/>
        </w:numPr>
        <w:spacing w:before="100" w:beforeAutospacing="1" w:after="100" w:afterAutospacing="1"/>
      </w:pPr>
      <w:r>
        <w:t>céder le fichier de gestion de la paye des salariés à des « partenaires » ;</w:t>
      </w:r>
    </w:p>
    <w:p w:rsidR="00335B92" w:rsidRDefault="00335B92" w:rsidP="00335B92">
      <w:pPr>
        <w:numPr>
          <w:ilvl w:val="0"/>
          <w:numId w:val="5"/>
        </w:numPr>
        <w:spacing w:before="100" w:beforeAutospacing="1" w:after="100" w:afterAutospacing="1"/>
      </w:pPr>
      <w:r>
        <w:t>utiliser des annuaires professionnels à des fins de communication politique ;</w:t>
      </w:r>
    </w:p>
    <w:p w:rsidR="00335B92" w:rsidRDefault="00335B92" w:rsidP="00335B92">
      <w:pPr>
        <w:numPr>
          <w:ilvl w:val="0"/>
          <w:numId w:val="5"/>
        </w:numPr>
        <w:spacing w:before="100" w:beforeAutospacing="1" w:after="100" w:afterAutospacing="1"/>
      </w:pPr>
      <w:r>
        <w:t>collecter les adresses électroniques dans les espaces publics de l’Internet (site web, annuaire, forum de discussion, réseaux sociaux, etc.) ;</w:t>
      </w:r>
    </w:p>
    <w:p w:rsidR="00335B92" w:rsidRDefault="00335B92" w:rsidP="00335B92">
      <w:pPr>
        <w:numPr>
          <w:ilvl w:val="0"/>
          <w:numId w:val="5"/>
        </w:numPr>
        <w:spacing w:before="100" w:beforeAutospacing="1" w:after="100" w:afterAutospacing="1"/>
      </w:pPr>
      <w:r>
        <w:t>opérer un tri sur la base de la consonance du nom ou des opinions religieuses des personnes figurant dans le fichier cédé pour sélectionner les destinataires du message politique.</w:t>
      </w:r>
    </w:p>
    <w:p w:rsidR="00335B92" w:rsidRDefault="00335B92" w:rsidP="00335B92">
      <w:pPr>
        <w:pStyle w:val="Titre3"/>
      </w:pPr>
      <w:r>
        <w:t>Le fichier transmis par un militant, sympathisant ou adhérent à un mouvement politique</w:t>
      </w:r>
    </w:p>
    <w:p w:rsidR="00335B92" w:rsidRDefault="00335B92" w:rsidP="00335B92">
      <w:pPr>
        <w:pStyle w:val="NormalWeb"/>
        <w:rPr>
          <w:sz w:val="27"/>
          <w:szCs w:val="27"/>
        </w:rPr>
      </w:pPr>
      <w:r>
        <w:rPr>
          <w:sz w:val="27"/>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56" w:tgtFrame="_blank" w:tooltip="Guide communication politique : obligations légales et bonnes pratiques" w:history="1">
        <w:r>
          <w:rPr>
            <w:rStyle w:val="Lienhypertexte"/>
            <w:sz w:val="27"/>
            <w:szCs w:val="27"/>
          </w:rPr>
          <w:t>guide pratique « communication politique »</w:t>
        </w:r>
      </w:hyperlink>
      <w:r>
        <w:rPr>
          <w:sz w:val="27"/>
          <w:szCs w:val="27"/>
        </w:rPr>
        <w:t>, p. 19).</w:t>
      </w:r>
    </w:p>
    <w:p w:rsidR="00335B92" w:rsidRDefault="00335B92" w:rsidP="00335B92">
      <w:pPr>
        <w:pStyle w:val="Titre3"/>
        <w:rPr>
          <w:sz w:val="27"/>
          <w:szCs w:val="27"/>
        </w:rPr>
      </w:pPr>
      <w:r>
        <w:t>Les fichiers constitués par un élu, un candidat ou à un parti auquel vous avez communiqué vos coordonnées</w:t>
      </w:r>
    </w:p>
    <w:p w:rsidR="00335B92" w:rsidRDefault="00335B92" w:rsidP="00335B92">
      <w:pPr>
        <w:pStyle w:val="NormalWeb"/>
        <w:rPr>
          <w:sz w:val="27"/>
          <w:szCs w:val="27"/>
        </w:rPr>
      </w:pPr>
      <w:r>
        <w:rPr>
          <w:sz w:val="27"/>
          <w:szCs w:val="27"/>
        </w:rPr>
        <w:t>Pendant la campagne électorale, vous pouvez avoir contacté directement un parti ou un candidat.</w:t>
      </w:r>
      <w:r>
        <w:rPr>
          <w:sz w:val="27"/>
          <w:szCs w:val="27"/>
        </w:rPr>
        <w:br/>
        <w:t>Exemples :</w:t>
      </w:r>
    </w:p>
    <w:p w:rsidR="00335B92" w:rsidRDefault="00335B92" w:rsidP="00335B92">
      <w:pPr>
        <w:numPr>
          <w:ilvl w:val="0"/>
          <w:numId w:val="6"/>
        </w:numPr>
        <w:spacing w:before="100" w:beforeAutospacing="1" w:after="100" w:afterAutospacing="1"/>
      </w:pPr>
      <w:r>
        <w:t>vous avez complété le coupon détachable présent sur un tract distribué dans votre marché, à la sortie du métro, à proximité de votre centre commercial etc.</w:t>
      </w:r>
    </w:p>
    <w:p w:rsidR="00335B92" w:rsidRDefault="00335B92" w:rsidP="00335B92">
      <w:pPr>
        <w:numPr>
          <w:ilvl w:val="0"/>
          <w:numId w:val="6"/>
        </w:numPr>
        <w:spacing w:before="100" w:beforeAutospacing="1" w:after="100" w:afterAutospacing="1"/>
      </w:pPr>
      <w: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335B92" w:rsidRDefault="00335B92" w:rsidP="00335B92">
      <w:pPr>
        <w:pStyle w:val="NormalWeb"/>
        <w:rPr>
          <w:sz w:val="27"/>
          <w:szCs w:val="27"/>
        </w:rPr>
      </w:pPr>
      <w:r>
        <w:rPr>
          <w:sz w:val="27"/>
          <w:szCs w:val="27"/>
        </w:rPr>
        <w:t xml:space="preserve">Sur l’utilisation de ces fichiers, cf. fiches n° 1 à 3 du </w:t>
      </w:r>
      <w:bookmarkStart w:id="0" w:name="_GoBack"/>
      <w:r>
        <w:rPr>
          <w:sz w:val="27"/>
          <w:szCs w:val="27"/>
        </w:rPr>
        <w:fldChar w:fldCharType="begin"/>
      </w:r>
      <w:r>
        <w:rPr>
          <w:sz w:val="27"/>
          <w:szCs w:val="27"/>
        </w:rPr>
        <w:instrText xml:space="preserve"> HYPERLINK "https://www.cnil.fr/sites/default/files/typo/document/CNIL_Politique.pdf" \o "Guide communication politique : obligations légales et bonnes pratiques" \t "_blank" </w:instrText>
      </w:r>
      <w:r>
        <w:rPr>
          <w:sz w:val="27"/>
          <w:szCs w:val="27"/>
        </w:rPr>
        <w:fldChar w:fldCharType="separate"/>
      </w:r>
      <w:r>
        <w:rPr>
          <w:rStyle w:val="Lienhypertexte"/>
          <w:sz w:val="27"/>
          <w:szCs w:val="27"/>
        </w:rPr>
        <w:t xml:space="preserve">guide </w:t>
      </w:r>
      <w:r>
        <w:rPr>
          <w:rStyle w:val="Lienhypertexte"/>
          <w:sz w:val="27"/>
          <w:szCs w:val="27"/>
        </w:rPr>
        <w:t>p</w:t>
      </w:r>
      <w:r>
        <w:rPr>
          <w:rStyle w:val="Lienhypertexte"/>
          <w:sz w:val="27"/>
          <w:szCs w:val="27"/>
        </w:rPr>
        <w:t>ratique « communication politique »</w:t>
      </w:r>
      <w:r>
        <w:rPr>
          <w:sz w:val="27"/>
          <w:szCs w:val="27"/>
        </w:rPr>
        <w:fldChar w:fldCharType="end"/>
      </w:r>
      <w:bookmarkEnd w:id="0"/>
      <w:r>
        <w:rPr>
          <w:sz w:val="27"/>
          <w:szCs w:val="27"/>
        </w:rPr>
        <w:t>, p. 11 à 26.</w:t>
      </w:r>
    </w:p>
    <w:p w:rsidR="00C66C70" w:rsidRDefault="00C66C70">
      <w:pPr>
        <w:rPr>
          <w:b/>
          <w:bCs/>
          <w:sz w:val="48"/>
          <w:szCs w:val="48"/>
          <w:lang w:eastAsia="fr-FR"/>
        </w:rPr>
      </w:pPr>
      <w:r>
        <w:rPr>
          <w:sz w:val="48"/>
          <w:szCs w:val="48"/>
        </w:rPr>
        <w:br w:type="page"/>
      </w:r>
    </w:p>
    <w:p w:rsidR="00335B92" w:rsidRDefault="00335B92" w:rsidP="00335B92">
      <w:pPr>
        <w:pStyle w:val="Titre2"/>
        <w:rPr>
          <w:sz w:val="48"/>
          <w:szCs w:val="48"/>
        </w:rPr>
      </w:pPr>
      <w:r>
        <w:rPr>
          <w:sz w:val="48"/>
          <w:szCs w:val="48"/>
        </w:rPr>
        <w:lastRenderedPageBreak/>
        <w:t>Quels sont vos droits « Informatiques et Libertés » ?</w:t>
      </w:r>
    </w:p>
    <w:p w:rsidR="00335B92" w:rsidRDefault="00335B92" w:rsidP="00335B92">
      <w:pPr>
        <w:pStyle w:val="Titre3"/>
        <w:rPr>
          <w:sz w:val="27"/>
          <w:szCs w:val="27"/>
        </w:rPr>
      </w:pPr>
      <w:r>
        <w:t>Le formulaire destiné à recueillir vos données doit comporter :</w:t>
      </w:r>
    </w:p>
    <w:p w:rsidR="00335B92" w:rsidRDefault="00335B92" w:rsidP="00335B92">
      <w:pPr>
        <w:numPr>
          <w:ilvl w:val="0"/>
          <w:numId w:val="7"/>
        </w:numPr>
        <w:spacing w:before="100" w:beforeAutospacing="1" w:after="100" w:afterAutospacing="1"/>
      </w:pPr>
      <w:r>
        <w:t>l’identité du responsable de traitement (tel candidat, tel parti politique, telle fédération) et des destinataires des données (tel mouvement de soutien du candidat, de financement, etc.) ;</w:t>
      </w:r>
    </w:p>
    <w:p w:rsidR="00335B92" w:rsidRDefault="00335B92" w:rsidP="00335B92">
      <w:pPr>
        <w:numPr>
          <w:ilvl w:val="0"/>
          <w:numId w:val="7"/>
        </w:numPr>
        <w:spacing w:before="100" w:beforeAutospacing="1" w:after="100" w:afterAutospacing="1"/>
      </w:pPr>
      <w:r>
        <w:t>la finalité du traitement (exemple : s’abonner à la lettre d’information papier ou électronique du candidat ou du parti ; adhérer au parti, etc.) ;</w:t>
      </w:r>
    </w:p>
    <w:p w:rsidR="00335B92" w:rsidRDefault="00335B92" w:rsidP="00335B92">
      <w:pPr>
        <w:numPr>
          <w:ilvl w:val="0"/>
          <w:numId w:val="7"/>
        </w:numPr>
        <w:spacing w:before="100" w:beforeAutospacing="1" w:after="100" w:afterAutospacing="1"/>
      </w:pPr>
      <w:r>
        <w:t>le caractère obligatoire ou facultatif des données (identifier les champs de saisie par des symboles et insérer la légende correspondante : [*] donnée obligatoire), et des conséquences d’un défaut de renseignement ;</w:t>
      </w:r>
    </w:p>
    <w:p w:rsidR="00335B92" w:rsidRDefault="00335B92" w:rsidP="00335B92">
      <w:pPr>
        <w:numPr>
          <w:ilvl w:val="0"/>
          <w:numId w:val="7"/>
        </w:numPr>
        <w:spacing w:before="100" w:beforeAutospacing="1" w:after="100" w:afterAutospacing="1"/>
      </w:pPr>
      <w:r>
        <w:t>le rappel des droits d’opposition, de mise à jour, de rectification et de suppression dont vous disposez ainsi que les modalités pratiques de leur exercice ;</w:t>
      </w:r>
    </w:p>
    <w:p w:rsidR="00335B92" w:rsidRDefault="00335B92" w:rsidP="00335B92">
      <w:pPr>
        <w:numPr>
          <w:ilvl w:val="0"/>
          <w:numId w:val="7"/>
        </w:numPr>
        <w:spacing w:before="100" w:beforeAutospacing="1" w:after="100" w:afterAutospacing="1"/>
      </w:pPr>
      <w:r>
        <w:t>les éventuels transferts de données en dehors de l’Union européenne.</w:t>
      </w:r>
    </w:p>
    <w:p w:rsidR="00335B92" w:rsidRDefault="00335B92" w:rsidP="00335B92">
      <w:pPr>
        <w:pStyle w:val="Titre3"/>
      </w:pPr>
      <w:r>
        <w:t>La CNIL recommande que chaque nouveau message politique adressé rappelle :</w:t>
      </w:r>
    </w:p>
    <w:p w:rsidR="00335B92" w:rsidRDefault="00335B92" w:rsidP="00335B92">
      <w:pPr>
        <w:numPr>
          <w:ilvl w:val="0"/>
          <w:numId w:val="8"/>
        </w:numPr>
        <w:spacing w:before="100" w:beforeAutospacing="1" w:after="100" w:afterAutospacing="1"/>
      </w:pPr>
      <w:r>
        <w:t>l’origine des données utilisées pour son envoi (c’est par exemple utile quand vous avez oublié avoir communiqué vos coordonnées, un an auparavant, en renseignant un formulaire de contact) ;</w:t>
      </w:r>
    </w:p>
    <w:p w:rsidR="00335B92" w:rsidRDefault="00335B92" w:rsidP="00335B92">
      <w:pPr>
        <w:numPr>
          <w:ilvl w:val="0"/>
          <w:numId w:val="8"/>
        </w:numPr>
        <w:spacing w:before="100" w:beforeAutospacing="1" w:after="100" w:afterAutospacing="1"/>
      </w:pPr>
      <w:r>
        <w:t>la fréquence des contacts (lettre d’actualité mensuelle, bimensuelle, etc.).</w:t>
      </w:r>
    </w:p>
    <w:p w:rsidR="00335B92" w:rsidRDefault="00335B92" w:rsidP="00335B92">
      <w:pPr>
        <w:pStyle w:val="Titre3"/>
      </w:pPr>
      <w:r>
        <w:t>La CNIL recommande aux élus, candidats et partis politiques de n’adresser qu’un unique message :</w:t>
      </w:r>
    </w:p>
    <w:p w:rsidR="00335B92" w:rsidRDefault="00335B92" w:rsidP="00335B92">
      <w:pPr>
        <w:numPr>
          <w:ilvl w:val="0"/>
          <w:numId w:val="9"/>
        </w:numPr>
        <w:spacing w:before="100" w:beforeAutospacing="1" w:after="100" w:afterAutospacing="1"/>
      </w:pPr>
      <w:r>
        <w:t>précisant l’origine des données ;</w:t>
      </w:r>
    </w:p>
    <w:p w:rsidR="00335B92" w:rsidRDefault="00335B92" w:rsidP="00335B92">
      <w:pPr>
        <w:numPr>
          <w:ilvl w:val="0"/>
          <w:numId w:val="9"/>
        </w:numPr>
        <w:spacing w:before="100" w:beforeAutospacing="1" w:after="100" w:afterAutospacing="1"/>
      </w:pPr>
      <w:r>
        <w:t>et invitant les destinataires à poursuivre de plus amples échanges en réalisant une démarche active (s’inscrire à telle lettre d’actualité, adhérer à tel parti, suivre l’actualité sur tel réseau social, etc.).</w:t>
      </w:r>
    </w:p>
    <w:p w:rsidR="00335B92" w:rsidRDefault="00335B92" w:rsidP="00335B92">
      <w:pPr>
        <w:pStyle w:val="NormalWeb"/>
        <w:rPr>
          <w:sz w:val="27"/>
          <w:szCs w:val="27"/>
        </w:rPr>
      </w:pPr>
      <w:r>
        <w:rPr>
          <w:sz w:val="27"/>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57" w:tgtFrame="_blank" w:tooltip="Guide communication politique : obligations légales et bonnes pratiques" w:history="1">
        <w:r>
          <w:rPr>
            <w:rStyle w:val="Lienhypertexte"/>
            <w:sz w:val="27"/>
            <w:szCs w:val="27"/>
          </w:rPr>
          <w:t>Droit d'accès</w:t>
        </w:r>
      </w:hyperlink>
      <w:r>
        <w:rPr>
          <w:sz w:val="27"/>
          <w:szCs w:val="27"/>
        </w:rPr>
        <w:t>).</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Les kits de campagne et la loi Informatique et Libertés</w:t>
      </w:r>
    </w:p>
    <w:p w:rsidR="00335B92" w:rsidRDefault="00335B92" w:rsidP="00335B92">
      <w:r>
        <w:t>02 mars 2015</w:t>
      </w:r>
    </w:p>
    <w:p w:rsidR="00335B92" w:rsidRDefault="00335B92" w:rsidP="00335B92">
      <w:r>
        <w:pict>
          <v:rect id="_x0000_i1033" style="width:0;height:1.5pt" o:hralign="center" o:hrstd="t" o:hr="t" fillcolor="gray" stroked="f"/>
        </w:pict>
      </w:r>
    </w:p>
    <w:p w:rsidR="00335B92" w:rsidRDefault="00335B92" w:rsidP="00335B92">
      <w:pPr>
        <w:pStyle w:val="NormalWeb"/>
        <w:rPr>
          <w:sz w:val="36"/>
          <w:szCs w:val="36"/>
        </w:rPr>
      </w:pPr>
      <w:r>
        <w:rPr>
          <w:sz w:val="36"/>
          <w:szCs w:val="36"/>
        </w:rPr>
        <w:t xml:space="preserve">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w:t>
      </w:r>
      <w:proofErr w:type="gramStart"/>
      <w:r>
        <w:rPr>
          <w:sz w:val="36"/>
          <w:szCs w:val="36"/>
        </w:rPr>
        <w:t>respectés</w:t>
      </w:r>
      <w:proofErr w:type="gramEnd"/>
      <w:r>
        <w:rPr>
          <w:sz w:val="36"/>
          <w:szCs w:val="36"/>
        </w:rPr>
        <w:t>.</w:t>
      </w:r>
    </w:p>
    <w:p w:rsidR="00335B92" w:rsidRDefault="00335B92" w:rsidP="00335B92">
      <w:pPr>
        <w:pStyle w:val="NormalWeb"/>
        <w:rPr>
          <w:sz w:val="27"/>
          <w:szCs w:val="27"/>
        </w:rPr>
      </w:pPr>
      <w:r>
        <w:rPr>
          <w:sz w:val="27"/>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58" w:tgtFrame="_blank" w:tooltip="le tract" w:history="1">
        <w:r>
          <w:rPr>
            <w:rStyle w:val="Lienhypertexte"/>
            <w:sz w:val="27"/>
            <w:szCs w:val="27"/>
          </w:rPr>
          <w:t>tract avec un coupon-réponse</w:t>
        </w:r>
      </w:hyperlink>
      <w:r>
        <w:rPr>
          <w:sz w:val="27"/>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335B92" w:rsidRDefault="00335B92" w:rsidP="00335B92">
      <w:pPr>
        <w:pStyle w:val="NormalWeb"/>
        <w:rPr>
          <w:sz w:val="27"/>
          <w:szCs w:val="27"/>
        </w:rPr>
      </w:pPr>
      <w:r>
        <w:rPr>
          <w:rStyle w:val="lev"/>
          <w:sz w:val="27"/>
          <w:szCs w:val="27"/>
        </w:rPr>
        <w:t>Exemple de mention à insérer sur les documents de collecte et tout guide d’utilisation de kits de campagne:</w:t>
      </w:r>
    </w:p>
    <w:p w:rsidR="00335B92" w:rsidRDefault="00335B92" w:rsidP="00335B92">
      <w:pPr>
        <w:pStyle w:val="NormalWeb"/>
        <w:rPr>
          <w:sz w:val="27"/>
          <w:szCs w:val="27"/>
        </w:rPr>
      </w:pPr>
      <w:r>
        <w:rPr>
          <w:rStyle w:val="Accentuation"/>
          <w:sz w:val="27"/>
          <w:szCs w:val="27"/>
        </w:rPr>
        <w:t>Les données collectées vous concernant sont facultatives mais nécessaires pour que</w:t>
      </w:r>
      <w:r>
        <w:rPr>
          <w:rStyle w:val="lev"/>
          <w:sz w:val="27"/>
          <w:szCs w:val="27"/>
        </w:rPr>
        <w:t xml:space="preserve"> [Préciser l’identité du parti/candidat]</w:t>
      </w:r>
      <w:r>
        <w:rPr>
          <w:sz w:val="27"/>
          <w:szCs w:val="27"/>
        </w:rPr>
        <w:t xml:space="preserve"> </w:t>
      </w:r>
      <w:r>
        <w:rPr>
          <w:rStyle w:val="Accentuation"/>
          <w:sz w:val="27"/>
          <w:szCs w:val="27"/>
        </w:rPr>
        <w:t>puisse</w:t>
      </w:r>
      <w:r>
        <w:rPr>
          <w:sz w:val="27"/>
          <w:szCs w:val="27"/>
        </w:rPr>
        <w:t xml:space="preserve"> </w:t>
      </w:r>
      <w:r>
        <w:rPr>
          <w:rStyle w:val="lev"/>
          <w:sz w:val="27"/>
          <w:szCs w:val="27"/>
        </w:rPr>
        <w:t>[Préciser la finalité : par exemple "vous adresser des informations sur son action</w:t>
      </w:r>
      <w:proofErr w:type="gramStart"/>
      <w:r>
        <w:rPr>
          <w:rStyle w:val="lev"/>
          <w:sz w:val="27"/>
          <w:szCs w:val="27"/>
        </w:rPr>
        <w:t>" ]</w:t>
      </w:r>
      <w:proofErr w:type="gramEnd"/>
      <w:r>
        <w:rPr>
          <w:sz w:val="27"/>
          <w:szCs w:val="27"/>
        </w:rPr>
        <w:t>.</w:t>
      </w:r>
      <w:r>
        <w:rPr>
          <w:sz w:val="27"/>
          <w:szCs w:val="27"/>
        </w:rPr>
        <w:br/>
      </w:r>
      <w:r>
        <w:rPr>
          <w:rStyle w:val="Accentuation"/>
          <w:sz w:val="27"/>
          <w:szCs w:val="27"/>
        </w:rPr>
        <w:t>Vous pouvez demander la communication, la rectification et la suppression de vos données personnelles en vous adressant à</w:t>
      </w:r>
      <w:r>
        <w:rPr>
          <w:rStyle w:val="lev"/>
          <w:i/>
          <w:iCs/>
          <w:sz w:val="27"/>
          <w:szCs w:val="27"/>
        </w:rPr>
        <w:t xml:space="preserve"> </w:t>
      </w:r>
      <w:r>
        <w:rPr>
          <w:rStyle w:val="lev"/>
          <w:sz w:val="27"/>
          <w:szCs w:val="27"/>
        </w:rPr>
        <w:t>[Préciser les coordonnées postales et/ou électroniques]</w:t>
      </w:r>
      <w:r>
        <w:rPr>
          <w:sz w:val="27"/>
          <w:szCs w:val="27"/>
        </w:rPr>
        <w:t>.</w:t>
      </w:r>
    </w:p>
    <w:p w:rsidR="00335B92" w:rsidRDefault="00335B92" w:rsidP="00335B92">
      <w:pPr>
        <w:pStyle w:val="NormalWeb"/>
        <w:rPr>
          <w:sz w:val="27"/>
          <w:szCs w:val="27"/>
        </w:rPr>
      </w:pPr>
      <w:r>
        <w:rPr>
          <w:sz w:val="27"/>
          <w:szCs w:val="27"/>
        </w:rPr>
        <w:t>Les principes "Informatique et Libertés" peuvent également être rappelés dans le "guide militant" qui accompagne ces documents.</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Une communication politique respectueuse des droits informatique et libertés</w:t>
      </w:r>
    </w:p>
    <w:p w:rsidR="00335B92" w:rsidRDefault="00335B92" w:rsidP="00335B92">
      <w:r>
        <w:t>10 novembre 2015</w:t>
      </w:r>
    </w:p>
    <w:p w:rsidR="00335B92" w:rsidRDefault="00335B92" w:rsidP="00335B92">
      <w:r>
        <w:pict>
          <v:rect id="_x0000_i1035" style="width:0;height:1.5pt" o:hralign="center" o:hrstd="t" o:hr="t" fillcolor="gray" stroked="f"/>
        </w:pict>
      </w:r>
    </w:p>
    <w:p w:rsidR="00335B92" w:rsidRDefault="00335B92" w:rsidP="00335B92">
      <w:pPr>
        <w:pStyle w:val="NormalWeb"/>
        <w:rPr>
          <w:sz w:val="36"/>
          <w:szCs w:val="36"/>
        </w:rPr>
      </w:pPr>
      <w:r>
        <w:rPr>
          <w:sz w:val="36"/>
          <w:szCs w:val="36"/>
        </w:rPr>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335B92" w:rsidRDefault="00335B92" w:rsidP="00335B92">
      <w:pPr>
        <w:pStyle w:val="NormalWeb"/>
        <w:rPr>
          <w:sz w:val="27"/>
          <w:szCs w:val="27"/>
        </w:rPr>
      </w:pPr>
      <w:r>
        <w:rPr>
          <w:sz w:val="27"/>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335B92" w:rsidRDefault="00335B92" w:rsidP="00335B92">
      <w:pPr>
        <w:pStyle w:val="Titre2"/>
        <w:rPr>
          <w:sz w:val="48"/>
          <w:szCs w:val="48"/>
        </w:rPr>
      </w:pPr>
      <w:r>
        <w:rPr>
          <w:sz w:val="48"/>
          <w:szCs w:val="48"/>
        </w:rPr>
        <w:t>Les différents droits reconnus aux personnes</w:t>
      </w:r>
    </w:p>
    <w:p w:rsidR="00335B92" w:rsidRDefault="00335B92" w:rsidP="00335B92">
      <w:pPr>
        <w:numPr>
          <w:ilvl w:val="0"/>
          <w:numId w:val="10"/>
        </w:numPr>
        <w:spacing w:before="100" w:beforeAutospacing="1" w:after="100" w:afterAutospacing="1"/>
      </w:pPr>
      <w: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335B92" w:rsidRDefault="00335B92" w:rsidP="00335B92">
      <w:pPr>
        <w:numPr>
          <w:ilvl w:val="0"/>
          <w:numId w:val="10"/>
        </w:numPr>
        <w:spacing w:before="100" w:beforeAutospacing="1" w:after="100" w:afterAutospacing="1"/>
      </w:pPr>
      <w:r>
        <w:t> Le droit de savoir si tel parti ou tel candidat dispose de fichiers informatisés et si des informations les concernant y figurent ;</w:t>
      </w:r>
    </w:p>
    <w:p w:rsidR="00335B92" w:rsidRDefault="00335B92" w:rsidP="00335B92">
      <w:pPr>
        <w:numPr>
          <w:ilvl w:val="0"/>
          <w:numId w:val="10"/>
        </w:numPr>
        <w:spacing w:before="100" w:beforeAutospacing="1" w:after="100" w:afterAutospacing="1"/>
      </w:pPr>
      <w:r>
        <w:t>Le droit d'obtenir la communication de l'ensemble de ces informations et leur origine, notamment en ce qui concerne les coordonnées postales, téléphoniques et électroniques ;</w:t>
      </w:r>
    </w:p>
    <w:p w:rsidR="00335B92" w:rsidRDefault="00335B92" w:rsidP="00335B92">
      <w:pPr>
        <w:numPr>
          <w:ilvl w:val="0"/>
          <w:numId w:val="10"/>
        </w:numPr>
        <w:spacing w:before="100" w:beforeAutospacing="1" w:after="100" w:afterAutospacing="1"/>
      </w:pPr>
      <w:r>
        <w:t>Le droit d'exiger la rectification des informations enregistrées, si elles sont inexactes ou incomplètes ;</w:t>
      </w:r>
    </w:p>
    <w:p w:rsidR="00335B92" w:rsidRDefault="00335B92" w:rsidP="00335B92">
      <w:pPr>
        <w:numPr>
          <w:ilvl w:val="0"/>
          <w:numId w:val="10"/>
        </w:numPr>
        <w:spacing w:before="100" w:beforeAutospacing="1" w:after="100" w:afterAutospacing="1"/>
      </w:pPr>
      <w:r>
        <w:t>Enfin, le droit de faire supprimer l'ensemble de ces informations.</w:t>
      </w:r>
    </w:p>
    <w:p w:rsidR="00335B92" w:rsidRDefault="00335B92" w:rsidP="00335B92">
      <w:pPr>
        <w:pStyle w:val="NormalWeb"/>
        <w:rPr>
          <w:sz w:val="27"/>
          <w:szCs w:val="27"/>
        </w:rPr>
      </w:pPr>
      <w:r>
        <w:rPr>
          <w:sz w:val="27"/>
          <w:szCs w:val="27"/>
        </w:rPr>
        <w:t>La CNIL rappelle qu'il est possible de s'opposer à la réception de messages de prospection (appel à dons, à rejoindre un parti politique ou la structure soutenant un candidat…) sans avoir à justifier de motifs légitimes.</w:t>
      </w:r>
      <w:r>
        <w:rPr>
          <w:sz w:val="27"/>
          <w:szCs w:val="27"/>
        </w:rPr>
        <w:br/>
        <w:t>La prise en compte de l'opposition doit donc intervenir dès la première demande.</w:t>
      </w:r>
    </w:p>
    <w:p w:rsidR="00335B92" w:rsidRDefault="00335B92" w:rsidP="00335B92">
      <w:pPr>
        <w:pStyle w:val="Titre2"/>
        <w:rPr>
          <w:sz w:val="48"/>
          <w:szCs w:val="48"/>
        </w:rPr>
      </w:pPr>
      <w:r>
        <w:rPr>
          <w:sz w:val="48"/>
          <w:szCs w:val="48"/>
        </w:rPr>
        <w:t>L'information préalable</w:t>
      </w:r>
    </w:p>
    <w:p w:rsidR="00335B92" w:rsidRDefault="00335B92" w:rsidP="00335B92">
      <w:pPr>
        <w:numPr>
          <w:ilvl w:val="0"/>
          <w:numId w:val="11"/>
        </w:numPr>
        <w:spacing w:before="100" w:beforeAutospacing="1" w:after="100" w:afterAutospacing="1"/>
      </w:pPr>
      <w:r>
        <w:t> Il n'est évidemment pas possible d'exercer ces différents droits sans être préalablement informé de la création du fichier, comme la loi l'exige.</w:t>
      </w:r>
      <w: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335B92" w:rsidRDefault="00335B92" w:rsidP="00335B92">
      <w:pPr>
        <w:numPr>
          <w:ilvl w:val="0"/>
          <w:numId w:val="11"/>
        </w:numPr>
        <w:spacing w:before="100" w:beforeAutospacing="1" w:after="100" w:afterAutospacing="1"/>
      </w:pPr>
      <w:r>
        <w:lastRenderedPageBreak/>
        <w:t>Cette information doit, dans tous les cas, porter sur quatre points :</w:t>
      </w:r>
    </w:p>
    <w:p w:rsidR="00335B92" w:rsidRDefault="00335B92" w:rsidP="00335B92">
      <w:pPr>
        <w:numPr>
          <w:ilvl w:val="0"/>
          <w:numId w:val="12"/>
        </w:numPr>
        <w:spacing w:before="100" w:beforeAutospacing="1" w:after="100" w:afterAutospacing="1"/>
      </w:pPr>
      <w:r>
        <w:t>l'identité du parti (ou de son émanation : association de financement…) ou du candidat mettant en œuvre le fichier ;</w:t>
      </w:r>
    </w:p>
    <w:p w:rsidR="00335B92" w:rsidRDefault="00335B92" w:rsidP="00335B92">
      <w:pPr>
        <w:numPr>
          <w:ilvl w:val="0"/>
          <w:numId w:val="12"/>
        </w:numPr>
        <w:spacing w:before="100" w:beforeAutospacing="1" w:after="100" w:afterAutospacing="1"/>
      </w:pPr>
      <w:r>
        <w:t>la finalité du fichier ;</w:t>
      </w:r>
    </w:p>
    <w:p w:rsidR="00335B92" w:rsidRDefault="00335B92" w:rsidP="00335B92">
      <w:pPr>
        <w:numPr>
          <w:ilvl w:val="0"/>
          <w:numId w:val="12"/>
        </w:numPr>
        <w:spacing w:before="100" w:beforeAutospacing="1" w:after="100" w:afterAutospacing="1"/>
      </w:pPr>
      <w:r>
        <w:t>le caractère obligatoire ou facultatif des réponses selon la finalité du fichier ;</w:t>
      </w:r>
    </w:p>
    <w:p w:rsidR="00335B92" w:rsidRDefault="00335B92" w:rsidP="00335B92">
      <w:pPr>
        <w:numPr>
          <w:ilvl w:val="0"/>
          <w:numId w:val="12"/>
        </w:numPr>
        <w:spacing w:before="100" w:beforeAutospacing="1" w:after="100" w:afterAutospacing="1"/>
      </w:pPr>
      <w:r>
        <w:t>le rappel des droits institués par la loi. </w:t>
      </w:r>
    </w:p>
    <w:p w:rsidR="00335B92" w:rsidRDefault="00335B92" w:rsidP="00335B92">
      <w:pPr>
        <w:pStyle w:val="NormalWeb"/>
        <w:rPr>
          <w:sz w:val="27"/>
          <w:szCs w:val="27"/>
        </w:rPr>
      </w:pPr>
      <w:r>
        <w:rPr>
          <w:sz w:val="27"/>
          <w:szCs w:val="27"/>
        </w:rPr>
        <w:t>La CNIL recommande que les messages de communication politique (courriers, courriels, SMS, etc.) mentionnent l'origine des informations utilisées (identité et coordonnées) et les coordonnées postales et électroniques où exercer ses droits.</w:t>
      </w:r>
    </w:p>
    <w:p w:rsidR="00335B92" w:rsidRDefault="00335B92" w:rsidP="00335B92">
      <w:pPr>
        <w:pStyle w:val="NormalWeb"/>
        <w:rPr>
          <w:sz w:val="27"/>
          <w:szCs w:val="27"/>
        </w:rPr>
      </w:pPr>
      <w:r>
        <w:rPr>
          <w:sz w:val="27"/>
          <w:szCs w:val="27"/>
        </w:rPr>
        <w:t xml:space="preserve">Les partis politiques et les candidats trouveront de nombreux exemples de mentions d'information dans le </w:t>
      </w:r>
      <w:hyperlink r:id="rId59" w:tgtFrame="_blank" w:tooltip="Guide communication politique : obligations légales et bonnes pratiques" w:history="1">
        <w:r>
          <w:rPr>
            <w:rStyle w:val="Lienhypertexte"/>
            <w:sz w:val="27"/>
            <w:szCs w:val="27"/>
          </w:rPr>
          <w:t>guide pratique communication politique</w:t>
        </w:r>
      </w:hyperlink>
      <w:r>
        <w:rPr>
          <w:sz w:val="27"/>
          <w:szCs w:val="27"/>
        </w:rPr>
        <w:t xml:space="preserve">  </w:t>
      </w:r>
    </w:p>
    <w:p w:rsidR="00335B92" w:rsidRDefault="00335B92" w:rsidP="00335B92">
      <w:pPr>
        <w:pStyle w:val="Titre2"/>
        <w:rPr>
          <w:sz w:val="48"/>
          <w:szCs w:val="48"/>
        </w:rPr>
      </w:pPr>
      <w:r>
        <w:rPr>
          <w:sz w:val="48"/>
          <w:szCs w:val="48"/>
        </w:rPr>
        <w:t>Faciliter et adapter l'exercice des droits</w:t>
      </w:r>
    </w:p>
    <w:p w:rsidR="00335B92" w:rsidRDefault="00335B92" w:rsidP="00335B92">
      <w:pPr>
        <w:pStyle w:val="NormalWeb"/>
        <w:rPr>
          <w:sz w:val="27"/>
          <w:szCs w:val="27"/>
        </w:rPr>
      </w:pPr>
      <w:r>
        <w:rPr>
          <w:sz w:val="27"/>
          <w:szCs w:val="27"/>
        </w:rPr>
        <w:t>Ces conditions doivent évidemment être adaptées à chaque situation particulière : démissionner d'un parti politique n'a pas les mêmes conséquences que le fait de demander à ne plus recevoir une lettre de diffusion.</w:t>
      </w:r>
    </w:p>
    <w:p w:rsidR="00335B92" w:rsidRDefault="00335B92" w:rsidP="00335B92">
      <w:pPr>
        <w:numPr>
          <w:ilvl w:val="0"/>
          <w:numId w:val="13"/>
        </w:numPr>
        <w:spacing w:before="100" w:beforeAutospacing="1" w:after="100" w:afterAutospacing="1"/>
      </w:pPr>
      <w:r>
        <w:t>Les textes en vigueur imposent, ainsi, de s'assurer de l'identité de la personne qui exerce ses droits afin, notamment, de ne pas lui communiquer  ou de supprimer des informations concernant un homonyme.</w:t>
      </w:r>
      <w:r>
        <w:br/>
        <w:t>Cette vérification doit évidemment être adaptée au support de communication choisi : si l'indication d'une adresse électronique suffit pour s'inscrire à une lettre de diffusion, il apparaît peu adéquat d'exiger un courrier recommandé avec accusé de réception pour demander à ne plus la recevoir.</w:t>
      </w:r>
      <w:r>
        <w:br/>
        <w:t>La rapidité de certains médias de communication implique une réaction aussi rapide.</w:t>
      </w:r>
    </w:p>
    <w:p w:rsidR="00335B92" w:rsidRDefault="00335B92" w:rsidP="00335B92">
      <w:pPr>
        <w:numPr>
          <w:ilvl w:val="0"/>
          <w:numId w:val="13"/>
        </w:numPr>
        <w:spacing w:before="100" w:beforeAutospacing="1" w:after="100" w:afterAutospacing="1"/>
      </w:pPr>
      <w: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br/>
        <w:t>La demande d'opposition à la réception de courriels de propagande ou à celle d'une lettre de diffusion électronique doit pouvoir, dans ce cas, être faite par simple retour de courriel.</w:t>
      </w:r>
    </w:p>
    <w:p w:rsidR="00335B92" w:rsidRDefault="00335B92" w:rsidP="00335B92">
      <w:pPr>
        <w:numPr>
          <w:ilvl w:val="0"/>
          <w:numId w:val="13"/>
        </w:numPr>
        <w:spacing w:before="100" w:beforeAutospacing="1" w:after="100" w:afterAutospacing="1"/>
      </w:pPr>
      <w: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br/>
        <w:t>Par exemple n'être radié d'une liste de diffusion de communication politique qu'après le second tour d'une élection n'aurait aucun sens.</w:t>
      </w:r>
    </w:p>
    <w:p w:rsidR="00335B92" w:rsidRDefault="00335B92" w:rsidP="00335B92">
      <w:pPr>
        <w:pStyle w:val="NormalWeb"/>
        <w:rPr>
          <w:sz w:val="27"/>
          <w:szCs w:val="27"/>
        </w:rPr>
      </w:pPr>
      <w:r>
        <w:rPr>
          <w:sz w:val="27"/>
          <w:szCs w:val="27"/>
        </w:rPr>
        <w:t xml:space="preserve">Les personnes confrontées à ces situations peuvent </w:t>
      </w:r>
      <w:hyperlink r:id="rId60" w:tgtFrame="_blank" w:history="1">
        <w:r>
          <w:rPr>
            <w:rStyle w:val="Lienhypertexte"/>
            <w:sz w:val="27"/>
            <w:szCs w:val="27"/>
          </w:rPr>
          <w:t>transmettre à la CNIL leur témoignage</w:t>
        </w:r>
      </w:hyperlink>
      <w:r>
        <w:rPr>
          <w:sz w:val="27"/>
          <w:szCs w:val="27"/>
        </w:rPr>
        <w:t>. Les partis et candidats qui auraient besoin de renseignements pratiques ou complémentaires dans le cadre de leurs campagnes de communication politique peuvent joindre la permanence juridique et les services de la CNIL au 01 53 73 22 22.</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Les fichiers constitués dans le cadre des primaires ouvertes</w:t>
      </w:r>
    </w:p>
    <w:p w:rsidR="00335B92" w:rsidRDefault="00335B92" w:rsidP="00335B92">
      <w:r>
        <w:t>08 novembre 2016</w:t>
      </w:r>
    </w:p>
    <w:p w:rsidR="00335B92" w:rsidRDefault="00335B92" w:rsidP="00335B92">
      <w:r>
        <w:pict>
          <v:rect id="_x0000_i1037" style="width:0;height:1.5pt" o:hralign="center" o:hrstd="t" o:hr="t" fillcolor="gray" stroked="f"/>
        </w:pict>
      </w:r>
    </w:p>
    <w:p w:rsidR="00335B92" w:rsidRDefault="00335B92" w:rsidP="00335B92">
      <w:pPr>
        <w:pStyle w:val="NormalWeb"/>
        <w:rPr>
          <w:sz w:val="36"/>
          <w:szCs w:val="36"/>
        </w:rPr>
      </w:pPr>
      <w:r>
        <w:rPr>
          <w:sz w:val="36"/>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335B92" w:rsidRDefault="00335B92" w:rsidP="00335B92">
      <w:pPr>
        <w:pStyle w:val="Titre2"/>
        <w:rPr>
          <w:sz w:val="48"/>
          <w:szCs w:val="48"/>
        </w:rPr>
      </w:pPr>
      <w:r>
        <w:rPr>
          <w:sz w:val="48"/>
          <w:szCs w:val="48"/>
        </w:rPr>
        <w:t>Une forme de consultation démocratique soumise à la loi « Informatique et Libertés »</w:t>
      </w:r>
    </w:p>
    <w:p w:rsidR="00335B92" w:rsidRDefault="00335B92" w:rsidP="00335B92">
      <w:pPr>
        <w:pStyle w:val="NormalWeb"/>
        <w:rPr>
          <w:sz w:val="27"/>
          <w:szCs w:val="27"/>
        </w:rPr>
      </w:pPr>
      <w:r>
        <w:rPr>
          <w:sz w:val="27"/>
          <w:szCs w:val="27"/>
        </w:rPr>
        <w:t>Le terme de « primaire ouverte » est utilisé lorsque d’autres personnes que les seuls membres du parti organisateur, voire l’ensemble des électeurs, peuvent y participer. </w:t>
      </w:r>
    </w:p>
    <w:p w:rsidR="00335B92" w:rsidRDefault="00335B92" w:rsidP="00335B92">
      <w:pPr>
        <w:pStyle w:val="NormalWeb"/>
        <w:rPr>
          <w:sz w:val="27"/>
          <w:szCs w:val="27"/>
        </w:rPr>
      </w:pPr>
      <w:r>
        <w:rPr>
          <w:sz w:val="27"/>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335B92" w:rsidRDefault="00335B92" w:rsidP="00335B92">
      <w:pPr>
        <w:pStyle w:val="NormalWeb"/>
        <w:rPr>
          <w:sz w:val="27"/>
          <w:szCs w:val="27"/>
        </w:rPr>
      </w:pPr>
      <w:r>
        <w:rPr>
          <w:sz w:val="27"/>
          <w:szCs w:val="27"/>
        </w:rPr>
        <w:t>Ces opérations impliquent :</w:t>
      </w:r>
    </w:p>
    <w:p w:rsidR="00335B92" w:rsidRDefault="00335B92" w:rsidP="00335B92">
      <w:pPr>
        <w:numPr>
          <w:ilvl w:val="0"/>
          <w:numId w:val="14"/>
        </w:numPr>
        <w:spacing w:before="100" w:beforeAutospacing="1" w:after="100" w:afterAutospacing="1"/>
      </w:pPr>
      <w:r>
        <w:t>la constitution de fichiers spécifiques (comme les listes des participants et des électeurs potentiels ou une liste de « sympathisants » souhaitant être recontactés par les partis organisateurs) ;</w:t>
      </w:r>
    </w:p>
    <w:p w:rsidR="00335B92" w:rsidRDefault="00335B92" w:rsidP="00335B92">
      <w:pPr>
        <w:numPr>
          <w:ilvl w:val="0"/>
          <w:numId w:val="14"/>
        </w:numPr>
        <w:spacing w:before="100" w:beforeAutospacing="1" w:after="100" w:afterAutospacing="1"/>
      </w:pPr>
      <w: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335B92" w:rsidRDefault="00335B92" w:rsidP="00335B92">
      <w:pPr>
        <w:pStyle w:val="Titre2"/>
        <w:numPr>
          <w:ilvl w:val="0"/>
          <w:numId w:val="15"/>
        </w:numPr>
        <w:rPr>
          <w:sz w:val="48"/>
          <w:szCs w:val="48"/>
        </w:rPr>
      </w:pPr>
      <w:r>
        <w:rPr>
          <w:sz w:val="48"/>
          <w:szCs w:val="48"/>
        </w:rPr>
        <w:t>La constitution du corps électoral</w:t>
      </w:r>
    </w:p>
    <w:p w:rsidR="00335B92" w:rsidRDefault="00335B92" w:rsidP="00335B92">
      <w:pPr>
        <w:pStyle w:val="NormalWeb"/>
        <w:rPr>
          <w:sz w:val="27"/>
          <w:szCs w:val="27"/>
        </w:rPr>
      </w:pPr>
      <w:r>
        <w:rPr>
          <w:sz w:val="27"/>
          <w:szCs w:val="27"/>
        </w:rPr>
        <w:t>Les candidats et partis politiques peuvent notamment utiliser les listes électorales pour organiser une consultation des électeurs dans le cadre d’une élection primaire.</w:t>
      </w:r>
    </w:p>
    <w:p w:rsidR="00335B92" w:rsidRDefault="00335B92" w:rsidP="00335B92">
      <w:pPr>
        <w:pStyle w:val="NormalWeb"/>
        <w:rPr>
          <w:sz w:val="27"/>
          <w:szCs w:val="27"/>
        </w:rPr>
      </w:pPr>
      <w:r>
        <w:rPr>
          <w:sz w:val="27"/>
          <w:szCs w:val="27"/>
        </w:rPr>
        <w:t xml:space="preserve">La liste électorale étant librement communicable en vertu du code électoral, </w:t>
      </w:r>
      <w:r>
        <w:rPr>
          <w:rStyle w:val="lev"/>
          <w:sz w:val="27"/>
          <w:szCs w:val="27"/>
        </w:rPr>
        <w:t>son utilisation n’est pas subordonnée au recueil du consentement de chaque électeur ou à son information</w:t>
      </w:r>
      <w:r>
        <w:rPr>
          <w:sz w:val="27"/>
          <w:szCs w:val="27"/>
        </w:rPr>
        <w:t>, celui-ci ne pouvant pas davantage s’opposer à cette transmission.</w:t>
      </w:r>
    </w:p>
    <w:p w:rsidR="00335B92" w:rsidRDefault="00335B92" w:rsidP="00335B92">
      <w:pPr>
        <w:pStyle w:val="NormalWeb"/>
        <w:rPr>
          <w:sz w:val="27"/>
          <w:szCs w:val="27"/>
        </w:rPr>
      </w:pPr>
      <w:r>
        <w:rPr>
          <w:sz w:val="27"/>
          <w:szCs w:val="27"/>
        </w:rPr>
        <w:t xml:space="preserve">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w:t>
      </w:r>
      <w:proofErr w:type="gramStart"/>
      <w:r>
        <w:rPr>
          <w:sz w:val="27"/>
          <w:szCs w:val="27"/>
        </w:rPr>
        <w:t>bureau ,</w:t>
      </w:r>
      <w:proofErr w:type="gramEnd"/>
      <w:r>
        <w:rPr>
          <w:sz w:val="27"/>
          <w:szCs w:val="27"/>
        </w:rPr>
        <w:t xml:space="preserve"> afin de constituer la liste d’émargement.</w:t>
      </w:r>
    </w:p>
    <w:p w:rsidR="00335B92" w:rsidRDefault="00335B92" w:rsidP="00335B92">
      <w:pPr>
        <w:pStyle w:val="NormalWeb"/>
        <w:rPr>
          <w:sz w:val="27"/>
          <w:szCs w:val="27"/>
        </w:rPr>
      </w:pPr>
      <w:r>
        <w:rPr>
          <w:sz w:val="27"/>
          <w:szCs w:val="27"/>
        </w:rPr>
        <w:lastRenderedPageBreak/>
        <w:t>Des mesures de sécurité adaptées doivent être mises en œuvre  pour préserver la confidentialité des données :</w:t>
      </w:r>
    </w:p>
    <w:p w:rsidR="00335B92" w:rsidRDefault="00335B92" w:rsidP="00335B92">
      <w:pPr>
        <w:numPr>
          <w:ilvl w:val="0"/>
          <w:numId w:val="16"/>
        </w:numPr>
        <w:spacing w:before="100" w:beforeAutospacing="1" w:after="100" w:afterAutospacing="1"/>
      </w:pPr>
      <w:r>
        <w:t>lors de la constitution du fichier des électeurs,</w:t>
      </w:r>
    </w:p>
    <w:p w:rsidR="00335B92" w:rsidRDefault="00335B92" w:rsidP="00335B92">
      <w:pPr>
        <w:numPr>
          <w:ilvl w:val="0"/>
          <w:numId w:val="16"/>
        </w:numPr>
        <w:spacing w:before="100" w:beforeAutospacing="1" w:after="100" w:afterAutospacing="1"/>
      </w:pPr>
      <w:r>
        <w:t>lors de leur transmission aux bureaux de vote et durant l’intégralité de leur période d’utilisation.</w:t>
      </w:r>
    </w:p>
    <w:p w:rsidR="00335B92" w:rsidRDefault="00335B92" w:rsidP="00335B92">
      <w:pPr>
        <w:pStyle w:val="NormalWeb"/>
        <w:rPr>
          <w:sz w:val="27"/>
          <w:szCs w:val="27"/>
        </w:rPr>
      </w:pPr>
      <w:r>
        <w:rPr>
          <w:sz w:val="27"/>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335B92" w:rsidRDefault="00335B92" w:rsidP="00335B92">
      <w:pPr>
        <w:pStyle w:val="Titre2"/>
        <w:numPr>
          <w:ilvl w:val="0"/>
          <w:numId w:val="17"/>
        </w:numPr>
        <w:rPr>
          <w:sz w:val="48"/>
          <w:szCs w:val="48"/>
        </w:rPr>
      </w:pPr>
      <w:r>
        <w:rPr>
          <w:sz w:val="48"/>
          <w:szCs w:val="48"/>
        </w:rPr>
        <w:t>L’organisation du vote</w:t>
      </w:r>
    </w:p>
    <w:p w:rsidR="00335B92" w:rsidRDefault="00335B92" w:rsidP="00335B92">
      <w:pPr>
        <w:pStyle w:val="NormalWeb"/>
        <w:rPr>
          <w:sz w:val="27"/>
          <w:szCs w:val="27"/>
        </w:rPr>
      </w:pPr>
      <w:r>
        <w:rPr>
          <w:sz w:val="27"/>
          <w:szCs w:val="27"/>
        </w:rPr>
        <w:t>Le jour du vote, les électeurs signent sur des supports distincts :</w:t>
      </w:r>
    </w:p>
    <w:p w:rsidR="00335B92" w:rsidRDefault="00335B92" w:rsidP="00335B92">
      <w:pPr>
        <w:numPr>
          <w:ilvl w:val="0"/>
          <w:numId w:val="18"/>
        </w:numPr>
        <w:spacing w:before="100" w:beforeAutospacing="1" w:after="100" w:afterAutospacing="1"/>
      </w:pPr>
      <w:r>
        <w:t>éventuellement, leur adhésion à la « charte des valeurs »  fixées par les organisateurs ;</w:t>
      </w:r>
    </w:p>
    <w:p w:rsidR="00335B92" w:rsidRDefault="00335B92" w:rsidP="00335B92">
      <w:pPr>
        <w:numPr>
          <w:ilvl w:val="0"/>
          <w:numId w:val="18"/>
        </w:numPr>
        <w:spacing w:before="100" w:beforeAutospacing="1" w:after="100" w:afterAutospacing="1"/>
      </w:pPr>
      <w:r>
        <w:t>la liste d’émargement qui acte leur participation au vote.</w:t>
      </w:r>
    </w:p>
    <w:p w:rsidR="00335B92" w:rsidRDefault="00335B92" w:rsidP="00335B92">
      <w:pPr>
        <w:pStyle w:val="NormalWeb"/>
        <w:rPr>
          <w:sz w:val="27"/>
          <w:szCs w:val="27"/>
        </w:rPr>
      </w:pPr>
      <w:r>
        <w:rPr>
          <w:sz w:val="27"/>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335B92" w:rsidRDefault="00335B92" w:rsidP="00335B92">
      <w:pPr>
        <w:pStyle w:val="NormalWeb"/>
        <w:rPr>
          <w:sz w:val="27"/>
          <w:szCs w:val="27"/>
        </w:rPr>
      </w:pPr>
      <w:r>
        <w:rPr>
          <w:sz w:val="27"/>
          <w:szCs w:val="27"/>
        </w:rPr>
        <w:t xml:space="preserve">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w:t>
      </w:r>
      <w:proofErr w:type="gramStart"/>
      <w:r>
        <w:rPr>
          <w:sz w:val="27"/>
          <w:szCs w:val="27"/>
        </w:rPr>
        <w:t>de la</w:t>
      </w:r>
      <w:proofErr w:type="gramEnd"/>
      <w:r>
        <w:rPr>
          <w:sz w:val="27"/>
          <w:szCs w:val="27"/>
        </w:rPr>
        <w:t xml:space="preserve"> primaire, à des fins de prospection politique.</w:t>
      </w:r>
    </w:p>
    <w:p w:rsidR="00335B92" w:rsidRDefault="00335B92" w:rsidP="00335B92">
      <w:pPr>
        <w:pStyle w:val="NormalWeb"/>
        <w:rPr>
          <w:sz w:val="30"/>
          <w:szCs w:val="30"/>
        </w:rPr>
      </w:pPr>
      <w:r>
        <w:rPr>
          <w:rStyle w:val="lev"/>
          <w:sz w:val="30"/>
          <w:szCs w:val="30"/>
        </w:rPr>
        <w:t xml:space="preserve">Exemple de mention d’information à insérer sur le formulaire de collecte présenté lors de la primaire </w:t>
      </w:r>
      <w:proofErr w:type="gramStart"/>
      <w:r>
        <w:rPr>
          <w:rStyle w:val="lev"/>
          <w:sz w:val="30"/>
          <w:szCs w:val="30"/>
        </w:rPr>
        <w:t>:</w:t>
      </w:r>
      <w:proofErr w:type="gramEnd"/>
      <w:r>
        <w:rPr>
          <w:sz w:val="30"/>
          <w:szCs w:val="30"/>
        </w:rPr>
        <w:br/>
        <w:t xml:space="preserve">« </w:t>
      </w:r>
      <w:r>
        <w:rPr>
          <w:rStyle w:val="Accentuation"/>
          <w:sz w:val="30"/>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Pr>
          <w:sz w:val="30"/>
          <w:szCs w:val="30"/>
        </w:rPr>
        <w:t xml:space="preserve"> [élection concernée]. </w:t>
      </w:r>
      <w:r>
        <w:rPr>
          <w:rStyle w:val="Accentuation"/>
          <w:sz w:val="30"/>
          <w:szCs w:val="30"/>
        </w:rPr>
        <w:t>Vous pouvez exercer vos droits d’accès, de rectification et de suppression à l’adresse postale ou électronique suivante :</w:t>
      </w:r>
      <w:r>
        <w:rPr>
          <w:sz w:val="30"/>
          <w:szCs w:val="30"/>
        </w:rPr>
        <w:t xml:space="preserve"> [coordonnées postales ou/et électroniques du parti]. »</w:t>
      </w:r>
    </w:p>
    <w:p w:rsidR="00335B92" w:rsidRDefault="00335B92" w:rsidP="00335B92">
      <w:pPr>
        <w:pStyle w:val="NormalWeb"/>
        <w:rPr>
          <w:sz w:val="27"/>
          <w:szCs w:val="27"/>
        </w:rPr>
      </w:pPr>
      <w:r>
        <w:rPr>
          <w:sz w:val="27"/>
          <w:szCs w:val="27"/>
        </w:rPr>
        <w:t> </w:t>
      </w:r>
    </w:p>
    <w:p w:rsidR="00335B92" w:rsidRDefault="00335B92" w:rsidP="00335B92">
      <w:pPr>
        <w:pStyle w:val="Titre2"/>
        <w:numPr>
          <w:ilvl w:val="0"/>
          <w:numId w:val="19"/>
        </w:numPr>
        <w:rPr>
          <w:sz w:val="48"/>
          <w:szCs w:val="48"/>
        </w:rPr>
      </w:pPr>
      <w:r>
        <w:rPr>
          <w:sz w:val="48"/>
          <w:szCs w:val="48"/>
        </w:rPr>
        <w:t>Entre les deux tours</w:t>
      </w:r>
    </w:p>
    <w:p w:rsidR="00335B92" w:rsidRDefault="00335B92" w:rsidP="00335B92">
      <w:pPr>
        <w:pStyle w:val="NormalWeb"/>
        <w:rPr>
          <w:sz w:val="27"/>
          <w:szCs w:val="27"/>
        </w:rPr>
      </w:pPr>
      <w:r>
        <w:rPr>
          <w:sz w:val="27"/>
          <w:szCs w:val="27"/>
        </w:rPr>
        <w:t>Entre les deux tours, ainsi qu'entre la fin du second tour et l'investiture officielle du candidat désigné, les formations politiques organisatrices doivent assurer un haut niveau de sécurité et de confidentialité, notamment</w:t>
      </w:r>
    </w:p>
    <w:p w:rsidR="00335B92" w:rsidRDefault="00335B92" w:rsidP="00335B92">
      <w:pPr>
        <w:numPr>
          <w:ilvl w:val="0"/>
          <w:numId w:val="20"/>
        </w:numPr>
        <w:spacing w:before="100" w:beforeAutospacing="1" w:after="100" w:afterAutospacing="1"/>
      </w:pPr>
      <w:r>
        <w:t>protéger l'accès informatique au fichier des électeurs ; </w:t>
      </w:r>
    </w:p>
    <w:p w:rsidR="00335B92" w:rsidRDefault="00335B92" w:rsidP="00335B92">
      <w:pPr>
        <w:numPr>
          <w:ilvl w:val="0"/>
          <w:numId w:val="20"/>
        </w:numPr>
        <w:spacing w:before="100" w:beforeAutospacing="1" w:after="100" w:afterAutospacing="1"/>
      </w:pPr>
      <w:r>
        <w:lastRenderedPageBreak/>
        <w:t>stocker de façon sécurisée les listes d'émargement et tout autre fichier constitué dans le cadre du scrutin.</w:t>
      </w:r>
    </w:p>
    <w:p w:rsidR="00335B92" w:rsidRDefault="00335B92" w:rsidP="00335B92">
      <w:pPr>
        <w:pStyle w:val="NormalWeb"/>
        <w:rPr>
          <w:sz w:val="27"/>
          <w:szCs w:val="27"/>
        </w:rPr>
      </w:pPr>
      <w:r>
        <w:rPr>
          <w:sz w:val="27"/>
          <w:szCs w:val="27"/>
        </w:rPr>
        <w:t xml:space="preserve">Le fichier des sympathisants constitué au premier tour ne peut pas être utilisé par les candidats </w:t>
      </w:r>
      <w:proofErr w:type="gramStart"/>
      <w:r>
        <w:rPr>
          <w:sz w:val="27"/>
          <w:szCs w:val="27"/>
        </w:rPr>
        <w:t>à la</w:t>
      </w:r>
      <w:proofErr w:type="gramEnd"/>
      <w:r>
        <w:rPr>
          <w:sz w:val="27"/>
          <w:szCs w:val="27"/>
        </w:rPr>
        <w:t xml:space="preserve"> primaire.</w:t>
      </w:r>
    </w:p>
    <w:p w:rsidR="00335B92" w:rsidRDefault="00335B92" w:rsidP="00335B92">
      <w:pPr>
        <w:pStyle w:val="Titre2"/>
        <w:numPr>
          <w:ilvl w:val="0"/>
          <w:numId w:val="21"/>
        </w:numPr>
        <w:rPr>
          <w:sz w:val="48"/>
          <w:szCs w:val="48"/>
        </w:rPr>
      </w:pPr>
      <w:r>
        <w:rPr>
          <w:sz w:val="48"/>
          <w:szCs w:val="48"/>
        </w:rPr>
        <w:t>La proclamation des résultats du vote</w:t>
      </w:r>
    </w:p>
    <w:p w:rsidR="00335B92" w:rsidRDefault="00335B92" w:rsidP="00335B92">
      <w:pPr>
        <w:pStyle w:val="NormalWeb"/>
        <w:rPr>
          <w:sz w:val="27"/>
          <w:szCs w:val="27"/>
        </w:rPr>
      </w:pPr>
      <w:r>
        <w:rPr>
          <w:sz w:val="27"/>
          <w:szCs w:val="27"/>
        </w:rPr>
        <w:t>A la proclamation des résultats et à l’issue de l’investiture du candidat officiel, le parti politique organisateur procède à la destruction :</w:t>
      </w:r>
    </w:p>
    <w:p w:rsidR="00335B92" w:rsidRDefault="00335B92" w:rsidP="00335B92">
      <w:pPr>
        <w:numPr>
          <w:ilvl w:val="0"/>
          <w:numId w:val="22"/>
        </w:numPr>
        <w:spacing w:before="100" w:beforeAutospacing="1" w:after="100" w:afterAutospacing="1"/>
      </w:pPr>
      <w:r>
        <w:t>Du fichier des électeurs ayant servi à constituer le corps électoral ;</w:t>
      </w:r>
    </w:p>
    <w:p w:rsidR="00335B92" w:rsidRDefault="00335B92" w:rsidP="00335B92">
      <w:pPr>
        <w:numPr>
          <w:ilvl w:val="0"/>
          <w:numId w:val="22"/>
        </w:numPr>
        <w:spacing w:before="100" w:beforeAutospacing="1" w:after="100" w:afterAutospacing="1"/>
      </w:pPr>
      <w:r>
        <w:t>Eventuellement, du ou des fichiers des personnes ayant adhéré à la « charte des valeurs ».</w:t>
      </w:r>
    </w:p>
    <w:p w:rsidR="00335B92" w:rsidRDefault="00335B92" w:rsidP="00335B92">
      <w:pPr>
        <w:numPr>
          <w:ilvl w:val="0"/>
          <w:numId w:val="22"/>
        </w:numPr>
        <w:spacing w:before="100" w:beforeAutospacing="1" w:after="100" w:afterAutospacing="1"/>
      </w:pPr>
      <w:r>
        <w:t>Des listes d’émargement utilisées par les bureaux de vote ;</w:t>
      </w:r>
    </w:p>
    <w:p w:rsidR="00335B92" w:rsidRDefault="00335B92" w:rsidP="00335B92">
      <w:pPr>
        <w:pStyle w:val="NormalWeb"/>
        <w:rPr>
          <w:sz w:val="27"/>
          <w:szCs w:val="27"/>
        </w:rPr>
      </w:pPr>
      <w:r>
        <w:rPr>
          <w:sz w:val="27"/>
          <w:szCs w:val="27"/>
        </w:rPr>
        <w:t>Le parti peut conserver le « fichier des sympathisants », constitué des personnes ayant consenti à devenir « contacts réguliers » du parti.</w:t>
      </w:r>
    </w:p>
    <w:p w:rsidR="00335B92" w:rsidRDefault="00335B92" w:rsidP="00335B92">
      <w:pPr>
        <w:pStyle w:val="Titre2"/>
        <w:numPr>
          <w:ilvl w:val="0"/>
          <w:numId w:val="23"/>
        </w:numPr>
        <w:rPr>
          <w:sz w:val="48"/>
          <w:szCs w:val="48"/>
        </w:rPr>
      </w:pPr>
      <w:r>
        <w:rPr>
          <w:sz w:val="48"/>
          <w:szCs w:val="48"/>
        </w:rPr>
        <w:t>Durant la campagne présidentielle</w:t>
      </w:r>
    </w:p>
    <w:p w:rsidR="00335B92" w:rsidRDefault="00335B92" w:rsidP="00335B92">
      <w:pPr>
        <w:pStyle w:val="NormalWeb"/>
        <w:rPr>
          <w:sz w:val="27"/>
          <w:szCs w:val="27"/>
        </w:rPr>
      </w:pPr>
      <w:r>
        <w:rPr>
          <w:sz w:val="27"/>
          <w:szCs w:val="27"/>
        </w:rPr>
        <w:t>Le « fichier des sympathisants » constitué à l’occasion des primaires peut être utilisé par le candidat à des fins de prospection politique.</w:t>
      </w:r>
    </w:p>
    <w:p w:rsidR="00335B92" w:rsidRDefault="00335B92" w:rsidP="00335B92">
      <w:pPr>
        <w:pStyle w:val="NormalWeb"/>
        <w:rPr>
          <w:sz w:val="27"/>
          <w:szCs w:val="27"/>
        </w:rPr>
      </w:pPr>
      <w:r>
        <w:rPr>
          <w:sz w:val="27"/>
          <w:szCs w:val="27"/>
        </w:rPr>
        <w:t>Les personnes ont toutefois la possibilité de s’opposer à tout moment à recevoir de nouvelles sollicitations, et peuvent demander  à ne plus figurer dans ce fichier.</w:t>
      </w:r>
    </w:p>
    <w:p w:rsidR="00335B92" w:rsidRDefault="00335B92">
      <w:pPr>
        <w:rPr>
          <w:sz w:val="18"/>
        </w:rPr>
      </w:pPr>
      <w:r>
        <w:rPr>
          <w:sz w:val="18"/>
        </w:rPr>
        <w:br w:type="page"/>
      </w:r>
    </w:p>
    <w:p w:rsidR="00335B92" w:rsidRDefault="00335B92" w:rsidP="00335B92">
      <w:pPr>
        <w:pStyle w:val="Titre1"/>
        <w:rPr>
          <w:sz w:val="57"/>
          <w:szCs w:val="57"/>
        </w:rPr>
      </w:pPr>
      <w:r>
        <w:rPr>
          <w:sz w:val="57"/>
          <w:szCs w:val="57"/>
        </w:rPr>
        <w:lastRenderedPageBreak/>
        <w:t xml:space="preserve">Communication politique : quelles sont les règles pour l'utilisation des données issues des réseaux sociaux ? </w:t>
      </w:r>
    </w:p>
    <w:p w:rsidR="00335B92" w:rsidRDefault="00335B92" w:rsidP="00335B92">
      <w:r>
        <w:t>08 novembre 2016</w:t>
      </w:r>
    </w:p>
    <w:p w:rsidR="00335B92" w:rsidRDefault="00335B92" w:rsidP="00335B92">
      <w:r>
        <w:pict>
          <v:rect id="_x0000_i1039" style="width:0;height:1.5pt" o:hralign="center" o:hrstd="t" o:hr="t" fillcolor="gray" stroked="f"/>
        </w:pict>
      </w:r>
    </w:p>
    <w:p w:rsidR="00335B92" w:rsidRDefault="00335B92" w:rsidP="00335B92">
      <w:pPr>
        <w:pStyle w:val="NormalWeb"/>
        <w:rPr>
          <w:sz w:val="36"/>
          <w:szCs w:val="36"/>
        </w:rPr>
      </w:pPr>
      <w:r>
        <w:rPr>
          <w:sz w:val="36"/>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335B92" w:rsidRDefault="00335B92" w:rsidP="00335B92">
      <w:pPr>
        <w:pStyle w:val="Titre2"/>
      </w:pPr>
      <w:r>
        <w:rPr>
          <w:rStyle w:val="lev"/>
          <w:b/>
          <w:bCs/>
        </w:rPr>
        <w:t>La collecte de données issues des réseaux sociaux </w:t>
      </w:r>
    </w:p>
    <w:p w:rsidR="00335B92" w:rsidRDefault="00335B92" w:rsidP="00335B92">
      <w:pPr>
        <w:pStyle w:val="NormalWeb"/>
      </w:pPr>
      <w:r>
        <w:rPr>
          <w:rStyle w:val="lev"/>
        </w:rPr>
        <w:t>La collecte massive de données issues des réseaux sociaux n’est pas légale en l’absence d’information des personnes concernées</w:t>
      </w:r>
    </w:p>
    <w:p w:rsidR="00335B92" w:rsidRDefault="00335B92" w:rsidP="00335B92">
      <w:pPr>
        <w:pStyle w:val="NormalWeb"/>
      </w:pPr>
      <w: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335B92" w:rsidRDefault="00335B92" w:rsidP="00335B92">
      <w:pPr>
        <w:pStyle w:val="NormalWeb"/>
      </w:pPr>
      <w:r>
        <w:t>Ainsi, comme cela a été rappelé par la Cour de cassation et le Conseil d’Etat, la collecte des données présentes sur internet ou les réseaux sociaux</w:t>
      </w:r>
      <w:r>
        <w:rPr>
          <w:rStyle w:val="lev"/>
        </w:rPr>
        <w:t> doit être loyale et licite</w:t>
      </w:r>
      <w:r>
        <w:t>.</w:t>
      </w:r>
    </w:p>
    <w:p w:rsidR="00335B92" w:rsidRDefault="00335B92" w:rsidP="00335B92">
      <w:pPr>
        <w:pStyle w:val="NormalWeb"/>
      </w:pPr>
      <w:r>
        <w:t>Quel que soit le mode de collecte (direct ou indirect) des données, cela suppose </w:t>
      </w:r>
      <w:r>
        <w:rPr>
          <w:rStyle w:val="lev"/>
        </w:rPr>
        <w:t>l’information des personnes concernées</w:t>
      </w:r>
      <w:r>
        <w:t> ainsi que</w:t>
      </w:r>
      <w:r>
        <w:rPr>
          <w:rStyle w:val="lev"/>
        </w:rPr>
        <w:t> la possibilité de s’opposer à la collecte des informations.</w:t>
      </w:r>
      <w:r>
        <w:t> </w:t>
      </w:r>
    </w:p>
    <w:p w:rsidR="00335B92" w:rsidRDefault="00335B92" w:rsidP="00335B92">
      <w:pPr>
        <w:pStyle w:val="NormalWeb"/>
      </w:pPr>
      <w: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335B92" w:rsidRDefault="00335B92" w:rsidP="00335B92">
      <w:pPr>
        <w:pStyle w:val="NormalWeb"/>
      </w:pPr>
      <w:r>
        <w:t> </w:t>
      </w:r>
    </w:p>
    <w:p w:rsidR="00335B92" w:rsidRDefault="00335B92" w:rsidP="00335B92">
      <w:pPr>
        <w:pStyle w:val="Titre2"/>
      </w:pPr>
      <w:r>
        <w:rPr>
          <w:rStyle w:val="lev"/>
          <w:b/>
          <w:bCs/>
        </w:rPr>
        <w:t>La distinction entre contacts réguliers et occasionnels</w:t>
      </w:r>
    </w:p>
    <w:p w:rsidR="00335B92" w:rsidRDefault="00335B92" w:rsidP="00335B92">
      <w:pPr>
        <w:pStyle w:val="NormalWeb"/>
      </w:pPr>
      <w:r>
        <w:t xml:space="preserve">Les problématiques soulevées par les logiciels de stratégie électorale doivent être analysées à la lumière des précédentes prises de position de la Commission en matière de communication politique. </w:t>
      </w:r>
      <w:hyperlink r:id="rId61" w:tgtFrame="_blank" w:history="1">
        <w:r>
          <w:rPr>
            <w:rStyle w:val="Lienhypertexte"/>
          </w:rPr>
          <w:t>Dans sa recommandation de 2012 sur la communication politique</w:t>
        </w:r>
      </w:hyperlink>
      <w:r>
        <w:t>,  la CNIL s’est notamment fondée sur la distinction entre les</w:t>
      </w:r>
      <w:r>
        <w:rPr>
          <w:rStyle w:val="lev"/>
        </w:rPr>
        <w:t> « contacts réguliers » </w:t>
      </w:r>
      <w:r>
        <w:t>des candidats et partis et leurs </w:t>
      </w:r>
      <w:r>
        <w:rPr>
          <w:rStyle w:val="lev"/>
        </w:rPr>
        <w:t>« contacts occasionnels ».</w:t>
      </w:r>
    </w:p>
    <w:p w:rsidR="00335B92" w:rsidRDefault="00335B92" w:rsidP="00335B92">
      <w:pPr>
        <w:pStyle w:val="NormalWeb"/>
      </w:pPr>
      <w:r>
        <w:rPr>
          <w:rStyle w:val="lev"/>
        </w:rPr>
        <w:t>Cette distinction reste tout à fait pertinente dans le cadre de l’utilisation de données issues des réseaux sociaux. </w:t>
      </w:r>
    </w:p>
    <w:p w:rsidR="00335B92" w:rsidRDefault="00335B92" w:rsidP="00335B92">
      <w:pPr>
        <w:pStyle w:val="Titre2"/>
        <w:rPr>
          <w:sz w:val="48"/>
          <w:szCs w:val="48"/>
        </w:rPr>
      </w:pPr>
      <w:r>
        <w:rPr>
          <w:rStyle w:val="ctn-gen-push-2-titre"/>
          <w:sz w:val="48"/>
          <w:szCs w:val="48"/>
        </w:rPr>
        <w:t xml:space="preserve">Contact régulier </w:t>
      </w:r>
    </w:p>
    <w:p w:rsidR="00335B92" w:rsidRDefault="00335B92" w:rsidP="00335B92">
      <w:pPr>
        <w:pStyle w:val="ctn-gen-push-2-intro"/>
        <w:rPr>
          <w:sz w:val="30"/>
          <w:szCs w:val="30"/>
        </w:rPr>
      </w:pPr>
      <w:r>
        <w:rPr>
          <w:sz w:val="30"/>
          <w:szCs w:val="30"/>
        </w:rPr>
        <w:lastRenderedPageBreak/>
        <w:t xml:space="preserve">Toute personne qui accomplit, auprès d’un parti politique, une démarche positive en vue d’entretenir </w:t>
      </w:r>
      <w:proofErr w:type="gramStart"/>
      <w:r>
        <w:rPr>
          <w:sz w:val="30"/>
          <w:szCs w:val="30"/>
        </w:rPr>
        <w:t>des échanges réguliers et touchant</w:t>
      </w:r>
      <w:proofErr w:type="gramEnd"/>
      <w:r>
        <w:rPr>
          <w:sz w:val="30"/>
          <w:szCs w:val="30"/>
        </w:rPr>
        <w:t xml:space="preserve"> directement à son action politique. Cette notion est donc distincte de celle de « membre ».</w:t>
      </w:r>
    </w:p>
    <w:p w:rsidR="00335B92" w:rsidRDefault="00335B92" w:rsidP="00335B92">
      <w:pPr>
        <w:pStyle w:val="NormalWeb"/>
        <w:rPr>
          <w:sz w:val="30"/>
          <w:szCs w:val="30"/>
        </w:rPr>
      </w:pPr>
      <w:r>
        <w:rPr>
          <w:rStyle w:val="Accentuation"/>
          <w:sz w:val="30"/>
          <w:szCs w:val="30"/>
        </w:rPr>
        <w:t>Exemple : abonnement à une lettre de diffusion, soutien financier régulier, participation aux activités ou réunions du parti, etc. </w:t>
      </w:r>
    </w:p>
    <w:p w:rsidR="00335B92" w:rsidRDefault="00335B92" w:rsidP="00335B92">
      <w:pPr>
        <w:pStyle w:val="NormalWeb"/>
        <w:rPr>
          <w:sz w:val="30"/>
          <w:szCs w:val="30"/>
        </w:rPr>
      </w:pPr>
      <w:r>
        <w:rPr>
          <w:rStyle w:val="lev"/>
          <w:sz w:val="30"/>
          <w:szCs w:val="30"/>
        </w:rPr>
        <w:t>Sur les réseaux sociaux : </w:t>
      </w:r>
      <w:r>
        <w:rPr>
          <w:sz w:val="30"/>
          <w:szCs w:val="30"/>
        </w:rPr>
        <w:t xml:space="preserve">« </w:t>
      </w:r>
      <w:proofErr w:type="spellStart"/>
      <w:r>
        <w:rPr>
          <w:sz w:val="30"/>
          <w:szCs w:val="30"/>
        </w:rPr>
        <w:t>follower</w:t>
      </w:r>
      <w:proofErr w:type="spellEnd"/>
      <w:r>
        <w:rPr>
          <w:sz w:val="30"/>
          <w:szCs w:val="30"/>
        </w:rPr>
        <w:t xml:space="preserve">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335B92" w:rsidRDefault="00335B92" w:rsidP="00335B92">
      <w:pPr>
        <w:pStyle w:val="Titre2"/>
        <w:rPr>
          <w:sz w:val="48"/>
          <w:szCs w:val="48"/>
        </w:rPr>
      </w:pPr>
      <w:r>
        <w:rPr>
          <w:rStyle w:val="ctn-gen-push-2-titre"/>
          <w:sz w:val="48"/>
          <w:szCs w:val="48"/>
        </w:rPr>
        <w:t xml:space="preserve">Contact occasionnel </w:t>
      </w:r>
    </w:p>
    <w:p w:rsidR="00335B92" w:rsidRDefault="00335B92" w:rsidP="00335B92">
      <w:pPr>
        <w:pStyle w:val="ctn-gen-push-2-intro"/>
        <w:rPr>
          <w:sz w:val="30"/>
          <w:szCs w:val="30"/>
        </w:rPr>
      </w:pPr>
      <w:r>
        <w:rPr>
          <w:sz w:val="30"/>
          <w:szCs w:val="30"/>
        </w:rPr>
        <w:t>Toute personne qui sollicite ponctuellement un parti politique ou un candidat, sans entretenir avec lui d’échanges réguliers dans le cadre de son activité politique. Toute personne sollicitée sans démarche volontaire de sa part</w:t>
      </w:r>
    </w:p>
    <w:p w:rsidR="00335B92" w:rsidRDefault="00335B92" w:rsidP="00335B92">
      <w:pPr>
        <w:pStyle w:val="NormalWeb"/>
        <w:rPr>
          <w:sz w:val="30"/>
          <w:szCs w:val="30"/>
        </w:rPr>
      </w:pPr>
      <w:r>
        <w:rPr>
          <w:rStyle w:val="Accentuation"/>
          <w:sz w:val="30"/>
          <w:szCs w:val="30"/>
        </w:rPr>
        <w:t xml:space="preserve">Exemples : Demande d’information sur un projet ou à l’occasion d’une campagne électorale particulière, demande d’intervention </w:t>
      </w:r>
      <w:proofErr w:type="gramStart"/>
      <w:r>
        <w:rPr>
          <w:rStyle w:val="Accentuation"/>
          <w:sz w:val="30"/>
          <w:szCs w:val="30"/>
        </w:rPr>
        <w:t>( logement</w:t>
      </w:r>
      <w:proofErr w:type="gramEnd"/>
      <w:r>
        <w:rPr>
          <w:rStyle w:val="Accentuation"/>
          <w:sz w:val="30"/>
          <w:szCs w:val="30"/>
        </w:rPr>
        <w:t xml:space="preserve">, intervention dans un différend, </w:t>
      </w:r>
      <w:proofErr w:type="spellStart"/>
      <w:r>
        <w:rPr>
          <w:rStyle w:val="Accentuation"/>
          <w:sz w:val="30"/>
          <w:szCs w:val="30"/>
        </w:rPr>
        <w:t>etc</w:t>
      </w:r>
      <w:proofErr w:type="spellEnd"/>
      <w:r>
        <w:rPr>
          <w:rStyle w:val="Accentuation"/>
          <w:sz w:val="30"/>
          <w:szCs w:val="30"/>
        </w:rPr>
        <w:t>)</w:t>
      </w:r>
    </w:p>
    <w:p w:rsidR="00335B92" w:rsidRDefault="00335B92" w:rsidP="00335B92">
      <w:pPr>
        <w:pStyle w:val="NormalWeb"/>
        <w:rPr>
          <w:sz w:val="30"/>
          <w:szCs w:val="30"/>
        </w:rPr>
      </w:pPr>
      <w:r>
        <w:rPr>
          <w:rStyle w:val="Accentuation"/>
          <w:sz w:val="30"/>
          <w:szCs w:val="30"/>
        </w:rPr>
        <w:t>Un membre du parti ou un soutien du candidat qui communique son carnet d’adresses personnel, une opération de parrainage, la location d’une base de prospection, etc.</w:t>
      </w:r>
    </w:p>
    <w:p w:rsidR="00335B92" w:rsidRDefault="00335B92" w:rsidP="00335B92">
      <w:pPr>
        <w:pStyle w:val="NormalWeb"/>
        <w:rPr>
          <w:sz w:val="30"/>
          <w:szCs w:val="30"/>
        </w:rPr>
      </w:pPr>
      <w:r>
        <w:rPr>
          <w:rStyle w:val="lev"/>
          <w:sz w:val="30"/>
          <w:szCs w:val="30"/>
        </w:rPr>
        <w:t>Sur les réseaux sociaux : </w:t>
      </w:r>
      <w:r>
        <w:rPr>
          <w:sz w:val="30"/>
          <w:szCs w:val="30"/>
        </w:rPr>
        <w:t>internaute qui « aime », qui commente, partage ou « retweete » des contenus publiés sur les réseaux sociaux.</w:t>
      </w:r>
    </w:p>
    <w:p w:rsidR="00335B92" w:rsidRDefault="00335B92" w:rsidP="00335B92">
      <w:r>
        <w:pict>
          <v:rect id="_x0000_i1040" style="width:0;height:1.5pt" o:hralign="center" o:hrstd="t" o:hr="t" fillcolor="gray" stroked="f"/>
        </w:pict>
      </w:r>
    </w:p>
    <w:p w:rsidR="00335B92" w:rsidRDefault="00335B92" w:rsidP="00335B92">
      <w:pPr>
        <w:pStyle w:val="Titre2"/>
      </w:pPr>
      <w:r>
        <w:rPr>
          <w:rStyle w:val="lev"/>
          <w:b/>
          <w:bCs/>
        </w:rPr>
        <w:t>L’utilisation des données issues des réseaux sociaux dans le cadre d’opérations de communication politique</w:t>
      </w:r>
    </w:p>
    <w:p w:rsidR="00335B92" w:rsidRDefault="00335B92" w:rsidP="00335B92">
      <w:pPr>
        <w:pStyle w:val="Titre3"/>
        <w:keepNext w:val="0"/>
        <w:keepLines w:val="0"/>
        <w:numPr>
          <w:ilvl w:val="0"/>
          <w:numId w:val="24"/>
        </w:numPr>
        <w:spacing w:before="100" w:beforeAutospacing="1" w:after="100" w:afterAutospacing="1"/>
      </w:pPr>
      <w:r>
        <w:t>Communiquer à destination des contacts</w:t>
      </w:r>
    </w:p>
    <w:p w:rsidR="00335B92" w:rsidRDefault="00335B92" w:rsidP="00335B92">
      <w:pPr>
        <w:numPr>
          <w:ilvl w:val="0"/>
          <w:numId w:val="25"/>
        </w:numPr>
        <w:spacing w:before="100" w:beforeAutospacing="1" w:after="100" w:afterAutospacing="1"/>
      </w:pPr>
      <w:hyperlink r:id="rId62" w:anchor="contact_r_gulier" w:history="1">
        <w:r>
          <w:rPr>
            <w:rStyle w:val="Lienhypertexte"/>
            <w:sz w:val="27"/>
            <w:szCs w:val="27"/>
          </w:rPr>
          <w:t>Contact régulier</w:t>
        </w:r>
      </w:hyperlink>
    </w:p>
    <w:p w:rsidR="00335B92" w:rsidRDefault="00335B92" w:rsidP="00335B92">
      <w:pPr>
        <w:pStyle w:val="NormalWeb"/>
        <w:rPr>
          <w:sz w:val="30"/>
          <w:szCs w:val="30"/>
        </w:rPr>
      </w:pPr>
      <w:r>
        <w:rPr>
          <w:rStyle w:val="lev"/>
          <w:sz w:val="30"/>
          <w:szCs w:val="30"/>
        </w:rPr>
        <w:t>Communiquer à destination d’un contact régulier</w:t>
      </w:r>
    </w:p>
    <w:p w:rsidR="00335B92" w:rsidRDefault="00335B92" w:rsidP="00335B92">
      <w:pPr>
        <w:pStyle w:val="NormalWeb"/>
        <w:rPr>
          <w:sz w:val="30"/>
          <w:szCs w:val="30"/>
        </w:rPr>
      </w:pPr>
      <w:r>
        <w:rPr>
          <w:sz w:val="30"/>
          <w:szCs w:val="30"/>
        </w:rPr>
        <w:t>Ces personnes </w:t>
      </w:r>
      <w:r>
        <w:rPr>
          <w:rStyle w:val="lev"/>
          <w:sz w:val="30"/>
          <w:szCs w:val="30"/>
        </w:rPr>
        <w:t>doivent être informées</w:t>
      </w:r>
      <w:r>
        <w:rPr>
          <w:sz w:val="30"/>
          <w:szCs w:val="30"/>
        </w:rPr>
        <w:t xml:space="preserve"> des conditions de traitement de leurs données, par le biais des onglets « politique vie privée » intégrés sur les pages </w:t>
      </w:r>
      <w:r>
        <w:rPr>
          <w:sz w:val="30"/>
          <w:szCs w:val="30"/>
        </w:rPr>
        <w:lastRenderedPageBreak/>
        <w:t>dédiées aux candidats ou partis de ces réseaux sociaux, auxquelles ils accèdent pour nouer ces interactions.</w:t>
      </w:r>
    </w:p>
    <w:p w:rsidR="00335B92" w:rsidRDefault="00335B92" w:rsidP="00335B92">
      <w:pPr>
        <w:pStyle w:val="NormalWeb"/>
        <w:rPr>
          <w:sz w:val="30"/>
          <w:szCs w:val="30"/>
        </w:rPr>
      </w:pPr>
      <w:r>
        <w:rPr>
          <w:rStyle w:val="lev"/>
          <w:sz w:val="30"/>
          <w:szCs w:val="30"/>
        </w:rPr>
        <w:t>Cette information préalable</w:t>
      </w:r>
      <w:r>
        <w:rPr>
          <w:sz w:val="30"/>
          <w:szCs w:val="30"/>
        </w:rPr>
        <w:t> doit notamment indiquer de manière claire :</w:t>
      </w:r>
    </w:p>
    <w:p w:rsidR="00335B92" w:rsidRDefault="00335B92" w:rsidP="00335B92">
      <w:pPr>
        <w:numPr>
          <w:ilvl w:val="0"/>
          <w:numId w:val="26"/>
        </w:numPr>
        <w:spacing w:before="100" w:beforeAutospacing="1" w:after="100" w:afterAutospacing="1"/>
      </w:pPr>
      <w:r>
        <w:t>la nature des données collectées ;</w:t>
      </w:r>
    </w:p>
    <w:p w:rsidR="00335B92" w:rsidRDefault="00335B92" w:rsidP="00335B92">
      <w:pPr>
        <w:numPr>
          <w:ilvl w:val="0"/>
          <w:numId w:val="26"/>
        </w:numPr>
        <w:spacing w:before="100" w:beforeAutospacing="1" w:after="100" w:afterAutospacing="1"/>
      </w:pPr>
      <w:r>
        <w:t>l’objectif de leur traitement ;</w:t>
      </w:r>
    </w:p>
    <w:p w:rsidR="00335B92" w:rsidRDefault="00335B92" w:rsidP="00335B92">
      <w:pPr>
        <w:numPr>
          <w:ilvl w:val="0"/>
          <w:numId w:val="26"/>
        </w:numPr>
        <w:spacing w:before="100" w:beforeAutospacing="1" w:after="100" w:afterAutospacing="1"/>
      </w:pPr>
      <w:r>
        <w:t>les modalités permettant de s’opposer à ce traitement</w:t>
      </w:r>
    </w:p>
    <w:p w:rsidR="00335B92" w:rsidRDefault="00335B92" w:rsidP="00335B92">
      <w:pPr>
        <w:pStyle w:val="NormalWeb"/>
        <w:rPr>
          <w:sz w:val="30"/>
          <w:szCs w:val="30"/>
        </w:rPr>
      </w:pPr>
      <w:r>
        <w:rPr>
          <w:rStyle w:val="lev"/>
          <w:sz w:val="30"/>
          <w:szCs w:val="30"/>
        </w:rPr>
        <w:t>Exemple d’information devant figurer dans la politique vie privée des réseaux sociaux</w:t>
      </w:r>
      <w:r>
        <w:rPr>
          <w:sz w:val="30"/>
          <w:szCs w:val="30"/>
        </w:rPr>
        <w:br/>
      </w:r>
      <w:r>
        <w:rPr>
          <w:rStyle w:val="Accentuation"/>
          <w:sz w:val="30"/>
          <w:szCs w:val="30"/>
        </w:rPr>
        <w:t>Le [candidat/parti] est susceptible de collecter et utiliser les [préciser le type de données] des membres du [nom du réseau] s’étant inscrits en tant que [« amis » / « </w:t>
      </w:r>
      <w:proofErr w:type="spellStart"/>
      <w:r>
        <w:rPr>
          <w:rStyle w:val="Accentuation"/>
          <w:sz w:val="30"/>
          <w:szCs w:val="30"/>
        </w:rPr>
        <w:t>followers</w:t>
      </w:r>
      <w:proofErr w:type="spellEnd"/>
      <w:r>
        <w:rPr>
          <w:rStyle w:val="Accentuation"/>
          <w:sz w:val="30"/>
          <w:szCs w:val="30"/>
        </w:rPr>
        <w:t xml:space="preserve"> » /etc.] afin de [les contacter sur le réseau social utilisé, leur transmettre des informations, </w:t>
      </w:r>
      <w:proofErr w:type="spellStart"/>
      <w:r>
        <w:rPr>
          <w:rStyle w:val="Accentuation"/>
          <w:sz w:val="30"/>
          <w:szCs w:val="30"/>
        </w:rPr>
        <w:t>etc</w:t>
      </w:r>
      <w:proofErr w:type="spellEnd"/>
      <w:r>
        <w:rPr>
          <w:rStyle w:val="Accentuation"/>
          <w:sz w:val="30"/>
          <w:szCs w:val="30"/>
        </w:rPr>
        <w:t>]. Les membres du [nom du réseau] peuvent s’opposer à tout moment à une telle utilisation en s’adressant à [point de contact tel qu’une adresse électronique].</w:t>
      </w:r>
    </w:p>
    <w:p w:rsidR="00335B92" w:rsidRDefault="00335B92" w:rsidP="00335B92">
      <w:pPr>
        <w:pStyle w:val="NormalWeb"/>
        <w:rPr>
          <w:sz w:val="30"/>
          <w:szCs w:val="30"/>
        </w:rPr>
      </w:pPr>
      <w:r>
        <w:rPr>
          <w:sz w:val="30"/>
          <w:szCs w:val="30"/>
        </w:rPr>
        <w:t> </w:t>
      </w:r>
    </w:p>
    <w:p w:rsidR="00335B92" w:rsidRDefault="00335B92" w:rsidP="00335B92">
      <w:pPr>
        <w:pStyle w:val="NormalWeb"/>
        <w:rPr>
          <w:sz w:val="30"/>
          <w:szCs w:val="30"/>
        </w:rPr>
      </w:pPr>
      <w:r>
        <w:rPr>
          <w:rStyle w:val="lev"/>
          <w:sz w:val="30"/>
          <w:szCs w:val="30"/>
        </w:rPr>
        <w:t>Toutes les fonctionnalités offertes par ces réseaux sociaux peuvent alors être utilisées par les candidats ou partis pour communiquer avec ces contacts réguliers</w:t>
      </w:r>
      <w:r>
        <w:rPr>
          <w:sz w:val="30"/>
          <w:szCs w:val="30"/>
        </w:rPr>
        <w:t> : ils peuvent par exemple publier des contenus qui seront portés à leur connaissance, leur adresser des messages privés par l’intermédiaire de ces réseaux, etc. Les personnes doivent pouvoir s’opposer à tout moment à cette communication.</w:t>
      </w:r>
    </w:p>
    <w:p w:rsidR="00B065C6" w:rsidRDefault="00B065C6" w:rsidP="00B065C6">
      <w:pPr>
        <w:numPr>
          <w:ilvl w:val="0"/>
          <w:numId w:val="25"/>
        </w:numPr>
        <w:spacing w:before="100" w:beforeAutospacing="1" w:after="100" w:afterAutospacing="1"/>
      </w:pPr>
      <w:hyperlink r:id="rId63" w:anchor="contact_occasionnel" w:history="1">
        <w:r>
          <w:rPr>
            <w:rStyle w:val="Lienhypertexte"/>
            <w:sz w:val="27"/>
            <w:szCs w:val="27"/>
          </w:rPr>
          <w:t>Contact occasionnel</w:t>
        </w:r>
      </w:hyperlink>
    </w:p>
    <w:p w:rsidR="00B065C6" w:rsidRDefault="00335B92" w:rsidP="00B065C6">
      <w:pPr>
        <w:pStyle w:val="NormalWeb"/>
        <w:rPr>
          <w:sz w:val="30"/>
          <w:szCs w:val="30"/>
        </w:rPr>
      </w:pPr>
      <w:r>
        <w:rPr>
          <w:sz w:val="30"/>
          <w:szCs w:val="30"/>
        </w:rPr>
        <w:t> </w:t>
      </w:r>
      <w:r w:rsidR="00B065C6">
        <w:rPr>
          <w:rStyle w:val="lev"/>
          <w:sz w:val="30"/>
          <w:szCs w:val="30"/>
        </w:rPr>
        <w:t>Communiquer à destination d’un contact occasionnel</w:t>
      </w:r>
    </w:p>
    <w:p w:rsidR="00B065C6" w:rsidRDefault="00B065C6" w:rsidP="00B065C6">
      <w:pPr>
        <w:pStyle w:val="NormalWeb"/>
        <w:rPr>
          <w:sz w:val="30"/>
          <w:szCs w:val="30"/>
        </w:rPr>
      </w:pPr>
      <w:r>
        <w:rPr>
          <w:sz w:val="30"/>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B065C6" w:rsidRDefault="00B065C6" w:rsidP="00B065C6">
      <w:pPr>
        <w:pStyle w:val="NormalWeb"/>
        <w:rPr>
          <w:sz w:val="30"/>
          <w:szCs w:val="30"/>
        </w:rPr>
      </w:pPr>
      <w:r>
        <w:rPr>
          <w:rStyle w:val="lev"/>
          <w:sz w:val="30"/>
          <w:szCs w:val="30"/>
        </w:rPr>
        <w:t>Un premier et unique message</w:t>
      </w:r>
      <w:r>
        <w:rPr>
          <w:sz w:val="30"/>
          <w:szCs w:val="30"/>
        </w:rPr>
        <w:t> peut leur être adressé, par l’intermédiaire du réseau social concerné, afin qu’ils consentent à recevoir des messages de communication politique.  </w:t>
      </w:r>
    </w:p>
    <w:p w:rsidR="00B065C6" w:rsidRDefault="00B065C6" w:rsidP="00B065C6">
      <w:pPr>
        <w:pStyle w:val="NormalWeb"/>
        <w:rPr>
          <w:sz w:val="30"/>
          <w:szCs w:val="30"/>
        </w:rPr>
      </w:pPr>
      <w:r>
        <w:rPr>
          <w:rStyle w:val="lev"/>
          <w:sz w:val="30"/>
          <w:szCs w:val="30"/>
        </w:rPr>
        <w:t>Exemple de message à envoyer à un contact occasionnel pour lui proposer de devenir un contact régulier</w:t>
      </w:r>
      <w:r>
        <w:rPr>
          <w:sz w:val="30"/>
          <w:szCs w:val="30"/>
        </w:rPr>
        <w:br/>
      </w:r>
      <w:r>
        <w:rPr>
          <w:rStyle w:val="Accentuation"/>
          <w:sz w:val="30"/>
          <w:szCs w:val="30"/>
        </w:rPr>
        <w:t xml:space="preserve">Vous avez retweeté, aimé, </w:t>
      </w:r>
      <w:proofErr w:type="gramStart"/>
      <w:r>
        <w:rPr>
          <w:rStyle w:val="Accentuation"/>
          <w:sz w:val="30"/>
          <w:szCs w:val="30"/>
        </w:rPr>
        <w:t>partagé</w:t>
      </w:r>
      <w:proofErr w:type="gramEnd"/>
      <w:r>
        <w:rPr>
          <w:rStyle w:val="Accentuation"/>
          <w:sz w:val="30"/>
          <w:szCs w:val="30"/>
        </w:rPr>
        <w:t>, un contenu émis depuis la page du [candidat/parti]. Souhaitez-vous recevoir par ce même biais des messages ? [</w:t>
      </w:r>
      <w:proofErr w:type="gramStart"/>
      <w:r>
        <w:rPr>
          <w:rStyle w:val="Accentuation"/>
          <w:sz w:val="30"/>
          <w:szCs w:val="30"/>
        </w:rPr>
        <w:t>préciser</w:t>
      </w:r>
      <w:proofErr w:type="gramEnd"/>
      <w:r>
        <w:rPr>
          <w:rStyle w:val="Accentuation"/>
          <w:sz w:val="30"/>
          <w:szCs w:val="30"/>
        </w:rPr>
        <w:t xml:space="preserve"> la nature]. Vous pouvez vous opposer  à tout moment à une telle utilisation en vous adressant à [point de contact tel qu’une adresse électronique].</w:t>
      </w:r>
    </w:p>
    <w:p w:rsidR="00B065C6" w:rsidRDefault="00B065C6" w:rsidP="00B065C6">
      <w:pPr>
        <w:pStyle w:val="NormalWeb"/>
        <w:rPr>
          <w:sz w:val="30"/>
          <w:szCs w:val="30"/>
        </w:rPr>
      </w:pPr>
      <w:r>
        <w:rPr>
          <w:sz w:val="30"/>
          <w:szCs w:val="30"/>
        </w:rPr>
        <w:lastRenderedPageBreak/>
        <w:t> </w:t>
      </w:r>
    </w:p>
    <w:p w:rsidR="00B065C6" w:rsidRDefault="00B065C6" w:rsidP="00B065C6">
      <w:pPr>
        <w:numPr>
          <w:ilvl w:val="0"/>
          <w:numId w:val="34"/>
        </w:numPr>
        <w:spacing w:before="100" w:beforeAutospacing="1" w:after="100" w:afterAutospacing="1"/>
      </w:pPr>
      <w:r>
        <w:t>En cas de réponse positive, ils deviennent des « contacts réguliers » ;</w:t>
      </w:r>
    </w:p>
    <w:p w:rsidR="00B065C6" w:rsidRDefault="00B065C6" w:rsidP="00B065C6">
      <w:pPr>
        <w:numPr>
          <w:ilvl w:val="0"/>
          <w:numId w:val="34"/>
        </w:numPr>
        <w:spacing w:before="100" w:beforeAutospacing="1" w:after="100" w:afterAutospacing="1"/>
      </w:pPr>
      <w:r>
        <w:t>En cas de réponse négative ou d’absence de réponse, leurs données ne peuvent pas faire l’objet d’un traitement.</w:t>
      </w:r>
    </w:p>
    <w:p w:rsidR="00335B92" w:rsidRDefault="00335B92" w:rsidP="00335B92">
      <w:pPr>
        <w:pStyle w:val="Titre2"/>
      </w:pPr>
      <w:r>
        <w:rPr>
          <w:rStyle w:val="ctn-gen-mise-avant-titre"/>
          <w:rFonts w:eastAsiaTheme="majorEastAsia"/>
        </w:rPr>
        <w:t>Comment proposer à un contact occasionnel de devenir un contact régulier ?</w:t>
      </w:r>
    </w:p>
    <w:p w:rsidR="00335B92" w:rsidRDefault="00335B92" w:rsidP="00335B92">
      <w:pPr>
        <w:pStyle w:val="NormalWeb"/>
      </w:pPr>
      <w:r>
        <w:t>Les coordonnées des contacts occasionnels ne doivent être utilisées </w:t>
      </w:r>
      <w:r>
        <w:rPr>
          <w:rStyle w:val="lev"/>
        </w:rPr>
        <w:t>qu’une seule fois afin de leur proposer d’établir un échange régulier</w:t>
      </w:r>
      <w:r>
        <w:t> ou de devenir membre d’une association.</w:t>
      </w:r>
    </w:p>
    <w:p w:rsidR="00335B92" w:rsidRDefault="00335B92" w:rsidP="00335B92">
      <w:pPr>
        <w:numPr>
          <w:ilvl w:val="0"/>
          <w:numId w:val="27"/>
        </w:numPr>
        <w:spacing w:before="100" w:beforeAutospacing="1" w:after="100" w:afterAutospacing="1"/>
      </w:pPr>
      <w:r>
        <w:t>En cas de réponse positive, ils deviennent des « contacts réguliers » des responsables de traitement ;</w:t>
      </w:r>
    </w:p>
    <w:p w:rsidR="00335B92" w:rsidRDefault="00335B92" w:rsidP="00335B92">
      <w:pPr>
        <w:numPr>
          <w:ilvl w:val="0"/>
          <w:numId w:val="27"/>
        </w:numPr>
        <w:spacing w:before="100" w:beforeAutospacing="1" w:after="100" w:afterAutospacing="1"/>
      </w:pPr>
      <w:r>
        <w:t>En cas de réponse négative ou d’absence de réponse, leurs données ne peuvent pas faire l’objet d’un traitement. Elles doivent être effacées.</w:t>
      </w:r>
    </w:p>
    <w:p w:rsidR="00335B92" w:rsidRDefault="00335B92" w:rsidP="00335B92">
      <w:pPr>
        <w:pStyle w:val="NormalWeb"/>
      </w:pPr>
      <w:r>
        <w:rPr>
          <w:rStyle w:val="lev"/>
        </w:rPr>
        <w:t>Ces informations ne peuvent être utilisées pour en déduire une sensibilité ou orientation politique réelle ou supposée</w:t>
      </w:r>
      <w:r>
        <w:t>. Seul l’établissement de contacts réguliers permet aux candidats et aux partis de traiter les opinions politiques des personnes concernées.</w:t>
      </w:r>
    </w:p>
    <w:p w:rsidR="00335B92" w:rsidRDefault="00335B92" w:rsidP="00335B92">
      <w:pPr>
        <w:numPr>
          <w:ilvl w:val="0"/>
          <w:numId w:val="28"/>
        </w:numPr>
        <w:spacing w:before="100" w:beforeAutospacing="1" w:after="100" w:afterAutospacing="1"/>
      </w:pPr>
      <w:r>
        <w:pict>
          <v:rect id="_x0000_i1041" style="width:0;height:1.5pt" o:hralign="center" o:hrstd="t" o:hr="t" fillcolor="gray" stroked="f"/>
        </w:pict>
      </w:r>
    </w:p>
    <w:p w:rsidR="00335B92" w:rsidRDefault="00335B92" w:rsidP="00335B92">
      <w:pPr>
        <w:pStyle w:val="Titre3"/>
        <w:ind w:left="720"/>
      </w:pPr>
      <w:r>
        <w:t>Enrichir une base de données de contacts</w:t>
      </w:r>
    </w:p>
    <w:p w:rsidR="00335B92" w:rsidRDefault="00335B92" w:rsidP="00335B92">
      <w:pPr>
        <w:pStyle w:val="NormalWeb"/>
      </w:pPr>
      <w:r>
        <w:t xml:space="preserve">Cet enrichissement peut permettre aux candidats ou partis d’élargir les canaux de communication avec leurs contacts en utilisant, par exemple, l’adresse électronique d’un « contact Facebook », le compte Facebook d’un « </w:t>
      </w:r>
      <w:proofErr w:type="spellStart"/>
      <w:r>
        <w:t>follower</w:t>
      </w:r>
      <w:proofErr w:type="spellEnd"/>
      <w:r>
        <w:t xml:space="preserve"> », etc. Il  permet ainsi d’affiner la communication politique et de personnaliser les messages à destination de chaque contact.</w:t>
      </w:r>
    </w:p>
    <w:p w:rsidR="00335B92" w:rsidRDefault="00335B92" w:rsidP="00335B92">
      <w:pPr>
        <w:numPr>
          <w:ilvl w:val="0"/>
          <w:numId w:val="29"/>
        </w:numPr>
        <w:spacing w:before="100" w:beforeAutospacing="1" w:after="100" w:afterAutospacing="1"/>
      </w:pPr>
      <w:hyperlink r:id="rId64" w:anchor="contacts_r_guliers_" w:history="1">
        <w:r>
          <w:rPr>
            <w:rStyle w:val="Lienhypertexte"/>
            <w:sz w:val="27"/>
            <w:szCs w:val="27"/>
          </w:rPr>
          <w:t xml:space="preserve">Contacts réguliers </w:t>
        </w:r>
      </w:hyperlink>
    </w:p>
    <w:p w:rsidR="00335B92" w:rsidRDefault="00335B92" w:rsidP="00335B92">
      <w:pPr>
        <w:pStyle w:val="NormalWeb"/>
        <w:rPr>
          <w:sz w:val="30"/>
          <w:szCs w:val="30"/>
        </w:rPr>
      </w:pPr>
      <w:r>
        <w:rPr>
          <w:sz w:val="30"/>
          <w:szCs w:val="30"/>
        </w:rPr>
        <w:t>Les contacts réguliers ont exprimé le souhait de communiquer sur un vecteur en particulier (réseau social, par courrier électronique, etc.), et non de façon générale sur l’ensemble des vecteurs.</w:t>
      </w:r>
    </w:p>
    <w:p w:rsidR="00335B92" w:rsidRDefault="00335B92" w:rsidP="00335B92">
      <w:pPr>
        <w:pStyle w:val="NormalWeb"/>
        <w:rPr>
          <w:sz w:val="30"/>
          <w:szCs w:val="30"/>
        </w:rPr>
      </w:pPr>
      <w:r>
        <w:rPr>
          <w:rStyle w:val="Accentuation"/>
          <w:sz w:val="30"/>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335B92" w:rsidRDefault="00335B92" w:rsidP="00335B92">
      <w:pPr>
        <w:pStyle w:val="NormalWeb"/>
        <w:rPr>
          <w:sz w:val="30"/>
          <w:szCs w:val="30"/>
        </w:rPr>
      </w:pPr>
      <w:r>
        <w:rPr>
          <w:sz w:val="30"/>
          <w:szCs w:val="30"/>
        </w:rPr>
        <w:t>Le fait d’être un contact régulier par l’intermédiaire du réseau Facebook ne permet pas automatiquement de collecter et d’utiliser les coordonnées de contact indiquées sur le profil Twitter.</w:t>
      </w:r>
    </w:p>
    <w:p w:rsidR="00B065C6" w:rsidRDefault="00B065C6">
      <w:pPr>
        <w:rPr>
          <w:rStyle w:val="lev"/>
          <w:sz w:val="30"/>
          <w:szCs w:val="30"/>
          <w:lang w:eastAsia="fr-FR"/>
        </w:rPr>
      </w:pPr>
      <w:r>
        <w:rPr>
          <w:rStyle w:val="lev"/>
          <w:sz w:val="30"/>
          <w:szCs w:val="30"/>
        </w:rPr>
        <w:br w:type="page"/>
      </w:r>
    </w:p>
    <w:p w:rsidR="00335B92" w:rsidRDefault="00335B92" w:rsidP="00335B92">
      <w:pPr>
        <w:pStyle w:val="NormalWeb"/>
        <w:rPr>
          <w:sz w:val="30"/>
          <w:szCs w:val="30"/>
        </w:rPr>
      </w:pPr>
      <w:r>
        <w:rPr>
          <w:rStyle w:val="lev"/>
          <w:sz w:val="30"/>
          <w:szCs w:val="30"/>
        </w:rPr>
        <w:lastRenderedPageBreak/>
        <w:t>Dans quelles conditions les partis ou candidats peuvent-ils traiter les données « supplémentaires » collectées d’un contact régulier ?</w:t>
      </w:r>
    </w:p>
    <w:p w:rsidR="00335B92" w:rsidRDefault="00335B92" w:rsidP="00335B92">
      <w:pPr>
        <w:numPr>
          <w:ilvl w:val="0"/>
          <w:numId w:val="30"/>
        </w:numPr>
        <w:spacing w:before="100" w:beforeAutospacing="1" w:after="100" w:afterAutospacing="1"/>
      </w:pPr>
      <w:r>
        <w:t>Il est possible de collecter l’adresse mail d’un « contact régulier Facebook » uniquement pour lui adresser un message lui proposant d’entretenir des contacts réguliers par voie électronique ;</w:t>
      </w:r>
    </w:p>
    <w:p w:rsidR="00335B92" w:rsidRDefault="00335B92" w:rsidP="00335B92">
      <w:pPr>
        <w:numPr>
          <w:ilvl w:val="0"/>
          <w:numId w:val="30"/>
        </w:numPr>
        <w:spacing w:before="100" w:beforeAutospacing="1" w:after="100" w:afterAutospacing="1"/>
      </w:pPr>
      <w:r>
        <w:t>Il est possible de « collecter » le profil Facebook d’un « </w:t>
      </w:r>
      <w:proofErr w:type="spellStart"/>
      <w:r>
        <w:t>follower</w:t>
      </w:r>
      <w:proofErr w:type="spellEnd"/>
      <w:r>
        <w:t> » uniquement pour lui adresser un message privé via ce réseau pour lui proposer d’entretenir des contacts réguliers sur Facebook ;</w:t>
      </w:r>
    </w:p>
    <w:p w:rsidR="00335B92" w:rsidRDefault="00335B92" w:rsidP="00335B92">
      <w:pPr>
        <w:numPr>
          <w:ilvl w:val="0"/>
          <w:numId w:val="30"/>
        </w:numPr>
        <w:spacing w:before="100" w:beforeAutospacing="1" w:after="100" w:afterAutospacing="1"/>
      </w:pPr>
      <w:r>
        <w:t>En l’absence de réponse positive à cette invitation, ces données ne peuvent faire l’objet d’une utilisation ultérieure et elles doivent être supprimées de la base de données des responsables de traitement.</w:t>
      </w:r>
    </w:p>
    <w:p w:rsidR="00B065C6" w:rsidRDefault="00B065C6" w:rsidP="00B065C6">
      <w:pPr>
        <w:numPr>
          <w:ilvl w:val="0"/>
          <w:numId w:val="35"/>
        </w:numPr>
        <w:spacing w:before="100" w:beforeAutospacing="1" w:after="100" w:afterAutospacing="1"/>
      </w:pPr>
      <w:hyperlink r:id="rId65" w:anchor="contacts_occasionnels" w:history="1">
        <w:r>
          <w:rPr>
            <w:rStyle w:val="Lienhypertexte"/>
            <w:sz w:val="27"/>
            <w:szCs w:val="27"/>
          </w:rPr>
          <w:t>Contacts occasionnels</w:t>
        </w:r>
      </w:hyperlink>
    </w:p>
    <w:p w:rsidR="00B065C6" w:rsidRDefault="00B065C6" w:rsidP="00B065C6">
      <w:pPr>
        <w:pStyle w:val="NormalWeb"/>
        <w:rPr>
          <w:sz w:val="30"/>
          <w:szCs w:val="30"/>
        </w:rPr>
      </w:pPr>
      <w:r>
        <w:rPr>
          <w:sz w:val="30"/>
          <w:szCs w:val="30"/>
        </w:rPr>
        <w:t>En ce qui concerne les contacts occasionnels, (personnes qui ont « </w:t>
      </w:r>
      <w:proofErr w:type="spellStart"/>
      <w:r>
        <w:rPr>
          <w:sz w:val="30"/>
          <w:szCs w:val="30"/>
        </w:rPr>
        <w:t>liké</w:t>
      </w:r>
      <w:proofErr w:type="spellEnd"/>
      <w:r>
        <w:rPr>
          <w:sz w:val="30"/>
          <w:szCs w:val="30"/>
        </w:rPr>
        <w:t> », commenté ou « retweeté » un contenu), </w:t>
      </w:r>
      <w:r>
        <w:rPr>
          <w:rStyle w:val="lev"/>
          <w:sz w:val="30"/>
          <w:szCs w:val="30"/>
        </w:rPr>
        <w:t>la collecte systématique de ces données supplémentaires</w:t>
      </w:r>
      <w:r>
        <w:rPr>
          <w:sz w:val="30"/>
          <w:szCs w:val="30"/>
        </w:rPr>
        <w:t> (adresse mail, comptes Facebook ou Twitter, etc.) </w:t>
      </w:r>
      <w:r>
        <w:rPr>
          <w:rStyle w:val="lev"/>
          <w:sz w:val="30"/>
          <w:szCs w:val="30"/>
        </w:rPr>
        <w:t>n’est pas loyale</w:t>
      </w:r>
      <w:r>
        <w:rPr>
          <w:sz w:val="30"/>
          <w:szCs w:val="30"/>
        </w:rPr>
        <w:t>, les personnes n’étant aucunement informées du traitement de leurs données personnelles.</w:t>
      </w:r>
    </w:p>
    <w:p w:rsidR="00B065C6" w:rsidRDefault="00B065C6" w:rsidP="00B065C6">
      <w:pPr>
        <w:pStyle w:val="NormalWeb"/>
        <w:rPr>
          <w:sz w:val="30"/>
          <w:szCs w:val="30"/>
        </w:rPr>
      </w:pPr>
      <w:r>
        <w:rPr>
          <w:rStyle w:val="lev"/>
          <w:sz w:val="30"/>
          <w:szCs w:val="30"/>
        </w:rPr>
        <w:t>Dans quelles conditions les partis ou candidats peuvent-ils traiter les données « supplémentaires » collectées d’un contact occasionnel ?</w:t>
      </w:r>
    </w:p>
    <w:p w:rsidR="00B065C6" w:rsidRDefault="00B065C6" w:rsidP="00B065C6">
      <w:pPr>
        <w:numPr>
          <w:ilvl w:val="0"/>
          <w:numId w:val="36"/>
        </w:numPr>
        <w:spacing w:before="100" w:beforeAutospacing="1" w:after="100" w:afterAutospacing="1"/>
      </w:pPr>
      <w:r>
        <w:t>Il est possible d’adresser au contact occasionnel un message par le biais du vecteur habituel (par mail s’il dispose d’une adresse électronique, par un message Facebook s’il s’agit d’un « </w:t>
      </w:r>
      <w:proofErr w:type="spellStart"/>
      <w:r>
        <w:t>likeur</w:t>
      </w:r>
      <w:proofErr w:type="spellEnd"/>
      <w:r>
        <w:t> », par message privé via Twitter s’il s’agit d’un « </w:t>
      </w:r>
      <w:proofErr w:type="spellStart"/>
      <w:r>
        <w:t>retweeteur</w:t>
      </w:r>
      <w:proofErr w:type="spellEnd"/>
      <w:r>
        <w:t> », etc.) afin de recueillir son consentement à la collecte de données supplémentaires le concernant.</w:t>
      </w:r>
    </w:p>
    <w:p w:rsidR="00B065C6" w:rsidRDefault="00B065C6" w:rsidP="00B065C6">
      <w:pPr>
        <w:pStyle w:val="NormalWeb"/>
        <w:rPr>
          <w:sz w:val="30"/>
          <w:szCs w:val="30"/>
        </w:rPr>
      </w:pPr>
      <w:r>
        <w:rPr>
          <w:sz w:val="30"/>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Pr>
          <w:rStyle w:val="lev"/>
          <w:sz w:val="30"/>
          <w:szCs w:val="30"/>
        </w:rPr>
        <w:t>de collecter et d’utiliser à des fins de communication les carnets d’amis des personnes</w:t>
      </w:r>
      <w:r>
        <w:rPr>
          <w:sz w:val="30"/>
          <w:szCs w:val="30"/>
        </w:rPr>
        <w:t> avec qui le responsable est en contact, qu’il s’agisse d’un contact régulier ou d’un contact occasionnel.</w:t>
      </w:r>
    </w:p>
    <w:p w:rsidR="00B065C6" w:rsidRDefault="00B065C6" w:rsidP="00B065C6">
      <w:pPr>
        <w:pStyle w:val="NormalWeb"/>
        <w:rPr>
          <w:sz w:val="30"/>
          <w:szCs w:val="30"/>
        </w:rPr>
      </w:pPr>
      <w:r>
        <w:rPr>
          <w:sz w:val="30"/>
          <w:szCs w:val="30"/>
        </w:rPr>
        <w:t> </w:t>
      </w:r>
    </w:p>
    <w:p w:rsidR="00B065C6" w:rsidRDefault="00B065C6" w:rsidP="00B065C6">
      <w:pPr>
        <w:spacing w:before="100" w:beforeAutospacing="1" w:after="100" w:afterAutospacing="1"/>
      </w:pPr>
    </w:p>
    <w:p w:rsidR="00335B92" w:rsidRDefault="00335B92" w:rsidP="00335B92">
      <w:pPr>
        <w:numPr>
          <w:ilvl w:val="0"/>
          <w:numId w:val="31"/>
        </w:numPr>
        <w:spacing w:before="100" w:beforeAutospacing="1" w:after="100" w:afterAutospacing="1"/>
      </w:pPr>
      <w:r>
        <w:pict>
          <v:rect id="_x0000_i1042" style="width:0;height:1.5pt" o:hralign="center" o:hrstd="t" o:hr="t" fillcolor="gray" stroked="f"/>
        </w:pict>
      </w:r>
    </w:p>
    <w:p w:rsidR="00335B92" w:rsidRDefault="00335B92" w:rsidP="00335B92">
      <w:pPr>
        <w:pStyle w:val="Titre3"/>
        <w:ind w:left="720"/>
      </w:pPr>
      <w:r>
        <w:t>Profiler et cibler les utilisateurs des réseaux sociaux</w:t>
      </w:r>
    </w:p>
    <w:p w:rsidR="00335B92" w:rsidRDefault="00335B92" w:rsidP="00335B92">
      <w:pPr>
        <w:pStyle w:val="NormalWeb"/>
      </w:pPr>
      <w:r>
        <w:t>Ce point constitue </w:t>
      </w:r>
      <w:r>
        <w:rPr>
          <w:rStyle w:val="lev"/>
        </w:rPr>
        <w:t>une des problématiques majeures</w:t>
      </w:r>
      <w:r>
        <w:t>, du point de vue de la protection des données personnelles.</w:t>
      </w:r>
    </w:p>
    <w:p w:rsidR="00335B92" w:rsidRDefault="00335B92" w:rsidP="00335B92">
      <w:pPr>
        <w:pStyle w:val="NormalWeb"/>
      </w:pPr>
      <w:r>
        <w:t>Au-delà de la seule collecte des données de contact figurant sur les réseaux sociaux, le problème soulevé par les logiciels de stratégie électorale concerne également </w:t>
      </w:r>
      <w:r>
        <w:rPr>
          <w:rStyle w:val="lev"/>
        </w:rPr>
        <w:t xml:space="preserve">le ciblage des électeurs et les conséquences </w:t>
      </w:r>
      <w:r>
        <w:rPr>
          <w:rStyle w:val="lev"/>
        </w:rPr>
        <w:lastRenderedPageBreak/>
        <w:t>pratiques</w:t>
      </w:r>
      <w:r>
        <w:t> qui peuvent découler de leur présence dans ces bases de données. Celles-ci permettent de croiser de nombreuses catégories d’informations provenant de sources diverses :</w:t>
      </w:r>
    </w:p>
    <w:p w:rsidR="00335B92" w:rsidRDefault="00335B92" w:rsidP="00335B92">
      <w:pPr>
        <w:numPr>
          <w:ilvl w:val="0"/>
          <w:numId w:val="32"/>
        </w:numPr>
        <w:spacing w:before="100" w:beforeAutospacing="1" w:after="100" w:afterAutospacing="1"/>
      </w:pPr>
      <w:r>
        <w:t>informations de profil des réseaux autres que les seules données de contact,</w:t>
      </w:r>
    </w:p>
    <w:p w:rsidR="00335B92" w:rsidRDefault="00335B92" w:rsidP="00335B92">
      <w:pPr>
        <w:numPr>
          <w:ilvl w:val="0"/>
          <w:numId w:val="32"/>
        </w:numPr>
        <w:spacing w:before="100" w:beforeAutospacing="1" w:after="100" w:afterAutospacing="1"/>
      </w:pPr>
      <w:r>
        <w:t>données de navigation collectées via des cookies,</w:t>
      </w:r>
    </w:p>
    <w:p w:rsidR="00335B92" w:rsidRDefault="00335B92" w:rsidP="00335B92">
      <w:pPr>
        <w:numPr>
          <w:ilvl w:val="0"/>
          <w:numId w:val="32"/>
        </w:numPr>
        <w:spacing w:before="100" w:beforeAutospacing="1" w:after="100" w:afterAutospacing="1"/>
      </w:pPr>
      <w:r>
        <w:t xml:space="preserve">données transmises par des tiers et collectées dans un contexte sans rapport avec la prospection </w:t>
      </w:r>
      <w:proofErr w:type="gramStart"/>
      <w:r>
        <w:t>politique</w:t>
      </w:r>
      <w:proofErr w:type="gramEnd"/>
      <w:r>
        <w:t>, etc.</w:t>
      </w:r>
    </w:p>
    <w:p w:rsidR="00335B92" w:rsidRDefault="00335B92" w:rsidP="00335B92">
      <w:pPr>
        <w:pStyle w:val="NormalWeb"/>
      </w:pPr>
      <w:r>
        <w:t>Les nouveaux outils de prospection électorale peuvent permettre de collecter non seulement les données déclaratives des profils (nom, prénom, profession dans la mesure où l’individu l’a renseignée), mais aussi des </w:t>
      </w:r>
      <w:r>
        <w:rPr>
          <w:rStyle w:val="lev"/>
        </w:rPr>
        <w:t>données d’usage</w:t>
      </w:r>
      <w:r>
        <w:t> (quand, avec quelle fréquence la personne interagit avec le candidat, quelles sont les pages qu’elle visite, etc.).</w:t>
      </w:r>
    </w:p>
    <w:p w:rsidR="00335B92" w:rsidRDefault="00335B92" w:rsidP="00335B92">
      <w:pPr>
        <w:pStyle w:val="NormalWeb"/>
      </w:pPr>
      <w:r>
        <w:rPr>
          <w:rStyle w:val="lev"/>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335B92" w:rsidRDefault="00335B92" w:rsidP="00335B92">
      <w:pPr>
        <w:pStyle w:val="NormalWeb"/>
      </w:pPr>
      <w: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335B92" w:rsidRDefault="00335B92" w:rsidP="00335B92">
      <w:pPr>
        <w:pStyle w:val="NormalWeb"/>
      </w:pPr>
      <w:r>
        <w:rPr>
          <w:rStyle w:val="lev"/>
        </w:rPr>
        <w:t>Ces combinaisons de données doivent se fonder sur le consentement des personnes et ne sauraient être mises en œuvre uniquement sur le fondement  de l’intérêt, même légitime, du candidat ou parti</w:t>
      </w:r>
      <w:r>
        <w:t>.</w:t>
      </w:r>
    </w:p>
    <w:p w:rsidR="00335B92" w:rsidRDefault="00335B92" w:rsidP="00335B92">
      <w:pPr>
        <w:pStyle w:val="Titre3"/>
      </w:pPr>
      <w:r>
        <w:t> </w:t>
      </w:r>
    </w:p>
    <w:p w:rsidR="00335B92" w:rsidRDefault="00335B92" w:rsidP="00335B92">
      <w:pPr>
        <w:pStyle w:val="Titre2"/>
      </w:pPr>
      <w:r>
        <w:rPr>
          <w:rStyle w:val="ctn-gen-mise-avant-titre"/>
          <w:rFonts w:eastAsiaTheme="majorEastAsia"/>
        </w:rPr>
        <w:t>Dans quelles conditions les partis ou candidats peuvent-ils croiser des données ?</w:t>
      </w:r>
    </w:p>
    <w:p w:rsidR="00335B92" w:rsidRDefault="00335B92" w:rsidP="00335B92">
      <w:pPr>
        <w:pStyle w:val="NormalWeb"/>
      </w:pPr>
      <w:r>
        <w:t>Les conditions de croisement peuvent être ainsi résumées :</w:t>
      </w:r>
    </w:p>
    <w:p w:rsidR="00335B92" w:rsidRDefault="00335B92" w:rsidP="00335B92">
      <w:pPr>
        <w:numPr>
          <w:ilvl w:val="0"/>
          <w:numId w:val="33"/>
        </w:numPr>
        <w:spacing w:before="100" w:beforeAutospacing="1" w:after="100" w:afterAutospacing="1"/>
      </w:pPr>
      <w:r>
        <w:rPr>
          <w:rStyle w:val="lev"/>
        </w:rPr>
        <w:t xml:space="preserve">Information </w:t>
      </w:r>
      <w:r>
        <w:t>de l’internaute à chaque collecte de données sur les réseaux sociaux,</w:t>
      </w:r>
    </w:p>
    <w:p w:rsidR="00335B92" w:rsidRDefault="00335B92" w:rsidP="00335B92">
      <w:pPr>
        <w:numPr>
          <w:ilvl w:val="0"/>
          <w:numId w:val="33"/>
        </w:numPr>
        <w:spacing w:before="100" w:beforeAutospacing="1" w:after="100" w:afterAutospacing="1"/>
      </w:pPr>
      <w:r>
        <w:rPr>
          <w:rStyle w:val="lev"/>
        </w:rPr>
        <w:t>Recueil de son consentement</w:t>
      </w:r>
      <w: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335B92" w:rsidRDefault="00335B92" w:rsidP="00335B92">
      <w:pPr>
        <w:pStyle w:val="NormalWeb"/>
      </w:pPr>
      <w:r>
        <w:t>Une case à cocher pourrait être proposée assortie d’une mention indiquant «</w:t>
      </w:r>
      <w:r>
        <w:rPr>
          <w:rStyle w:val="Accentuation"/>
        </w:rPr>
        <w:t> j’accepte que mes données [</w:t>
      </w:r>
      <w:r>
        <w:t>préciser lesquelles</w:t>
      </w:r>
      <w:r>
        <w:rPr>
          <w:rStyle w:val="Accentuation"/>
        </w:rPr>
        <w:t>] soient utilisées afin de [</w:t>
      </w:r>
      <w:r>
        <w:t>indiquer la finalité par ex. « mieux connaitre mes attentes », « personnaliser des messages », etc.].</w:t>
      </w:r>
    </w:p>
    <w:p w:rsidR="00335B92" w:rsidRDefault="00335B92" w:rsidP="00335B92">
      <w:pPr>
        <w:pStyle w:val="NormalWeb"/>
      </w:pPr>
      <w:r>
        <w:t>Ce consentement doit pouvoir être retiré à tout moment.</w:t>
      </w:r>
    </w:p>
    <w:p w:rsidR="00335B92" w:rsidRDefault="00335B92" w:rsidP="00335B92">
      <w:pPr>
        <w:pStyle w:val="Titre3"/>
      </w:pPr>
      <w:r>
        <w:t> </w:t>
      </w:r>
    </w:p>
    <w:p w:rsidR="00335B92" w:rsidRDefault="00335B92" w:rsidP="00335B92">
      <w:pPr>
        <w:pStyle w:val="NormalWeb"/>
      </w:pPr>
      <w:r>
        <w:t>Le croisement des données personnelles ne peut concerner que les contacts réguliers.  Les conditions d’information et de recueil du consentement peuvent en effet difficilement être satisfaites pour les contacts occasionnels.</w:t>
      </w:r>
    </w:p>
    <w:p w:rsidR="00335B92" w:rsidRDefault="00335B92" w:rsidP="00335B92">
      <w:pPr>
        <w:pStyle w:val="NormalWeb"/>
      </w:pPr>
      <w:r>
        <w:lastRenderedPageBreak/>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335B92" w:rsidRDefault="00335B92" w:rsidP="00335B92">
      <w:pPr>
        <w:pStyle w:val="NormalWeb"/>
      </w:pPr>
      <w: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Pr>
          <w:rStyle w:val="lev"/>
        </w:rPr>
        <w:t>est celui d’un passage d’un porte-à-porte traditionnel indifférencié (sur la base de la liste électorale) à un porte-à-porte ciblé, sur la base des informations collectées en ligne</w:t>
      </w:r>
      <w:r>
        <w:t>. Les deux types de contact sont cependant très différents.</w:t>
      </w:r>
    </w:p>
    <w:p w:rsidR="00335B92" w:rsidRDefault="00335B92" w:rsidP="00335B92">
      <w:pPr>
        <w:pStyle w:val="NormalWeb"/>
      </w:pPr>
      <w:r>
        <w:t>En l’absence d’un tel consentement, seuls des porte-à-porte ciblés, à l’échelle d’une circonscription, d’un quartier ou d’une rue, devraient être réalisés sur la base des données traitées par ces logiciels, et non des porte-à-porte « personnalisés ».</w:t>
      </w:r>
    </w:p>
    <w:p w:rsidR="00351A93" w:rsidRPr="009E1EAF" w:rsidRDefault="00351A93" w:rsidP="00DD042F">
      <w:pPr>
        <w:ind w:firstLine="426"/>
        <w:jc w:val="both"/>
        <w:rPr>
          <w:sz w:val="18"/>
        </w:rPr>
      </w:pPr>
    </w:p>
    <w:sectPr w:rsidR="00351A93" w:rsidRPr="009E1EAF" w:rsidSect="00EA5ADF">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2"/>
    <w:multiLevelType w:val="hybridMultilevel"/>
    <w:tmpl w:val="373438CC"/>
    <w:lvl w:ilvl="0" w:tplc="D5801D7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4"/>
  </w:num>
  <w:num w:numId="4">
    <w:abstractNumId w:val="3"/>
  </w:num>
  <w:num w:numId="5">
    <w:abstractNumId w:val="13"/>
  </w:num>
  <w:num w:numId="6">
    <w:abstractNumId w:val="9"/>
  </w:num>
  <w:num w:numId="7">
    <w:abstractNumId w:val="15"/>
  </w:num>
  <w:num w:numId="8">
    <w:abstractNumId w:val="21"/>
  </w:num>
  <w:num w:numId="9">
    <w:abstractNumId w:val="31"/>
  </w:num>
  <w:num w:numId="10">
    <w:abstractNumId w:val="6"/>
  </w:num>
  <w:num w:numId="11">
    <w:abstractNumId w:val="11"/>
  </w:num>
  <w:num w:numId="12">
    <w:abstractNumId w:val="7"/>
  </w:num>
  <w:num w:numId="13">
    <w:abstractNumId w:val="2"/>
  </w:num>
  <w:num w:numId="14">
    <w:abstractNumId w:val="17"/>
  </w:num>
  <w:num w:numId="15">
    <w:abstractNumId w:val="30"/>
  </w:num>
  <w:num w:numId="16">
    <w:abstractNumId w:val="22"/>
  </w:num>
  <w:num w:numId="17">
    <w:abstractNumId w:val="27"/>
  </w:num>
  <w:num w:numId="18">
    <w:abstractNumId w:val="34"/>
  </w:num>
  <w:num w:numId="19">
    <w:abstractNumId w:val="29"/>
  </w:num>
  <w:num w:numId="20">
    <w:abstractNumId w:val="35"/>
  </w:num>
  <w:num w:numId="21">
    <w:abstractNumId w:val="25"/>
  </w:num>
  <w:num w:numId="22">
    <w:abstractNumId w:val="20"/>
  </w:num>
  <w:num w:numId="23">
    <w:abstractNumId w:val="26"/>
  </w:num>
  <w:num w:numId="24">
    <w:abstractNumId w:val="24"/>
  </w:num>
  <w:num w:numId="25">
    <w:abstractNumId w:val="4"/>
  </w:num>
  <w:num w:numId="26">
    <w:abstractNumId w:val="19"/>
  </w:num>
  <w:num w:numId="27">
    <w:abstractNumId w:val="5"/>
  </w:num>
  <w:num w:numId="28">
    <w:abstractNumId w:val="10"/>
  </w:num>
  <w:num w:numId="29">
    <w:abstractNumId w:val="23"/>
  </w:num>
  <w:num w:numId="30">
    <w:abstractNumId w:val="1"/>
  </w:num>
  <w:num w:numId="31">
    <w:abstractNumId w:val="12"/>
  </w:num>
  <w:num w:numId="32">
    <w:abstractNumId w:val="18"/>
  </w:num>
  <w:num w:numId="33">
    <w:abstractNumId w:val="28"/>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F"/>
    <w:rsid w:val="00175D9F"/>
    <w:rsid w:val="00335B92"/>
    <w:rsid w:val="00343840"/>
    <w:rsid w:val="00351A93"/>
    <w:rsid w:val="003B717E"/>
    <w:rsid w:val="00411938"/>
    <w:rsid w:val="00503619"/>
    <w:rsid w:val="007127EA"/>
    <w:rsid w:val="009E1EAF"/>
    <w:rsid w:val="00B065C6"/>
    <w:rsid w:val="00C66C70"/>
    <w:rsid w:val="00DD042F"/>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335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335B92"/>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335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335B92"/>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6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538">
          <w:marLeft w:val="0"/>
          <w:marRight w:val="0"/>
          <w:marTop w:val="0"/>
          <w:marBottom w:val="0"/>
          <w:divBdr>
            <w:top w:val="none" w:sz="0" w:space="0" w:color="auto"/>
            <w:left w:val="none" w:sz="0" w:space="0" w:color="auto"/>
            <w:bottom w:val="none" w:sz="0" w:space="0" w:color="auto"/>
            <w:right w:val="none" w:sz="0" w:space="0" w:color="auto"/>
          </w:divBdr>
        </w:div>
        <w:div w:id="693729389">
          <w:marLeft w:val="0"/>
          <w:marRight w:val="0"/>
          <w:marTop w:val="0"/>
          <w:marBottom w:val="0"/>
          <w:divBdr>
            <w:top w:val="none" w:sz="0" w:space="0" w:color="auto"/>
            <w:left w:val="none" w:sz="0" w:space="0" w:color="auto"/>
            <w:bottom w:val="none" w:sz="0" w:space="0" w:color="auto"/>
            <w:right w:val="none" w:sz="0" w:space="0" w:color="auto"/>
          </w:divBdr>
          <w:divsChild>
            <w:div w:id="1689018081">
              <w:marLeft w:val="0"/>
              <w:marRight w:val="0"/>
              <w:marTop w:val="0"/>
              <w:marBottom w:val="0"/>
              <w:divBdr>
                <w:top w:val="none" w:sz="0" w:space="0" w:color="auto"/>
                <w:left w:val="none" w:sz="0" w:space="0" w:color="auto"/>
                <w:bottom w:val="none" w:sz="0" w:space="0" w:color="auto"/>
                <w:right w:val="none" w:sz="0" w:space="0" w:color="auto"/>
              </w:divBdr>
            </w:div>
            <w:div w:id="576209372">
              <w:marLeft w:val="0"/>
              <w:marRight w:val="0"/>
              <w:marTop w:val="0"/>
              <w:marBottom w:val="0"/>
              <w:divBdr>
                <w:top w:val="none" w:sz="0" w:space="0" w:color="auto"/>
                <w:left w:val="none" w:sz="0" w:space="0" w:color="auto"/>
                <w:bottom w:val="none" w:sz="0" w:space="0" w:color="auto"/>
                <w:right w:val="none" w:sz="0" w:space="0" w:color="auto"/>
              </w:divBdr>
              <w:divsChild>
                <w:div w:id="313528087">
                  <w:marLeft w:val="0"/>
                  <w:marRight w:val="0"/>
                  <w:marTop w:val="0"/>
                  <w:marBottom w:val="0"/>
                  <w:divBdr>
                    <w:top w:val="none" w:sz="0" w:space="0" w:color="auto"/>
                    <w:left w:val="none" w:sz="0" w:space="0" w:color="auto"/>
                    <w:bottom w:val="none" w:sz="0" w:space="0" w:color="auto"/>
                    <w:right w:val="none" w:sz="0" w:space="0" w:color="auto"/>
                  </w:divBdr>
                </w:div>
                <w:div w:id="115831233">
                  <w:marLeft w:val="0"/>
                  <w:marRight w:val="0"/>
                  <w:marTop w:val="0"/>
                  <w:marBottom w:val="0"/>
                  <w:divBdr>
                    <w:top w:val="none" w:sz="0" w:space="0" w:color="auto"/>
                    <w:left w:val="none" w:sz="0" w:space="0" w:color="auto"/>
                    <w:bottom w:val="none" w:sz="0" w:space="0" w:color="auto"/>
                    <w:right w:val="none" w:sz="0" w:space="0" w:color="auto"/>
                  </w:divBdr>
                  <w:divsChild>
                    <w:div w:id="484979766">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263150099">
                              <w:marLeft w:val="0"/>
                              <w:marRight w:val="0"/>
                              <w:marTop w:val="0"/>
                              <w:marBottom w:val="0"/>
                              <w:divBdr>
                                <w:top w:val="none" w:sz="0" w:space="0" w:color="auto"/>
                                <w:left w:val="none" w:sz="0" w:space="0" w:color="auto"/>
                                <w:bottom w:val="none" w:sz="0" w:space="0" w:color="auto"/>
                                <w:right w:val="none" w:sz="0" w:space="0" w:color="auto"/>
                              </w:divBdr>
                              <w:divsChild>
                                <w:div w:id="1629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45821">
      <w:bodyDiv w:val="1"/>
      <w:marLeft w:val="0"/>
      <w:marRight w:val="0"/>
      <w:marTop w:val="0"/>
      <w:marBottom w:val="0"/>
      <w:divBdr>
        <w:top w:val="none" w:sz="0" w:space="0" w:color="auto"/>
        <w:left w:val="none" w:sz="0" w:space="0" w:color="auto"/>
        <w:bottom w:val="none" w:sz="0" w:space="0" w:color="auto"/>
        <w:right w:val="none" w:sz="0" w:space="0" w:color="auto"/>
      </w:divBdr>
      <w:divsChild>
        <w:div w:id="207375850">
          <w:marLeft w:val="0"/>
          <w:marRight w:val="0"/>
          <w:marTop w:val="0"/>
          <w:marBottom w:val="0"/>
          <w:divBdr>
            <w:top w:val="none" w:sz="0" w:space="0" w:color="auto"/>
            <w:left w:val="none" w:sz="0" w:space="0" w:color="auto"/>
            <w:bottom w:val="none" w:sz="0" w:space="0" w:color="auto"/>
            <w:right w:val="none" w:sz="0" w:space="0" w:color="auto"/>
          </w:divBdr>
        </w:div>
        <w:div w:id="646326715">
          <w:marLeft w:val="0"/>
          <w:marRight w:val="0"/>
          <w:marTop w:val="0"/>
          <w:marBottom w:val="0"/>
          <w:divBdr>
            <w:top w:val="none" w:sz="0" w:space="0" w:color="auto"/>
            <w:left w:val="none" w:sz="0" w:space="0" w:color="auto"/>
            <w:bottom w:val="none" w:sz="0" w:space="0" w:color="auto"/>
            <w:right w:val="none" w:sz="0" w:space="0" w:color="auto"/>
          </w:divBdr>
        </w:div>
        <w:div w:id="2093358202">
          <w:marLeft w:val="0"/>
          <w:marRight w:val="0"/>
          <w:marTop w:val="0"/>
          <w:marBottom w:val="0"/>
          <w:divBdr>
            <w:top w:val="none" w:sz="0" w:space="0" w:color="auto"/>
            <w:left w:val="none" w:sz="0" w:space="0" w:color="auto"/>
            <w:bottom w:val="none" w:sz="0" w:space="0" w:color="auto"/>
            <w:right w:val="none" w:sz="0" w:space="0" w:color="auto"/>
          </w:divBdr>
        </w:div>
        <w:div w:id="1954021819">
          <w:marLeft w:val="0"/>
          <w:marRight w:val="0"/>
          <w:marTop w:val="0"/>
          <w:marBottom w:val="0"/>
          <w:divBdr>
            <w:top w:val="none" w:sz="0" w:space="0" w:color="auto"/>
            <w:left w:val="none" w:sz="0" w:space="0" w:color="auto"/>
            <w:bottom w:val="none" w:sz="0" w:space="0" w:color="auto"/>
            <w:right w:val="none" w:sz="0" w:space="0" w:color="auto"/>
          </w:divBdr>
          <w:divsChild>
            <w:div w:id="1972977698">
              <w:marLeft w:val="0"/>
              <w:marRight w:val="0"/>
              <w:marTop w:val="0"/>
              <w:marBottom w:val="0"/>
              <w:divBdr>
                <w:top w:val="none" w:sz="0" w:space="0" w:color="auto"/>
                <w:left w:val="none" w:sz="0" w:space="0" w:color="auto"/>
                <w:bottom w:val="none" w:sz="0" w:space="0" w:color="auto"/>
                <w:right w:val="none" w:sz="0" w:space="0" w:color="auto"/>
              </w:divBdr>
            </w:div>
          </w:divsChild>
        </w:div>
        <w:div w:id="1932083933">
          <w:marLeft w:val="0"/>
          <w:marRight w:val="0"/>
          <w:marTop w:val="0"/>
          <w:marBottom w:val="0"/>
          <w:divBdr>
            <w:top w:val="none" w:sz="0" w:space="0" w:color="auto"/>
            <w:left w:val="none" w:sz="0" w:space="0" w:color="auto"/>
            <w:bottom w:val="none" w:sz="0" w:space="0" w:color="auto"/>
            <w:right w:val="none" w:sz="0" w:space="0" w:color="auto"/>
          </w:divBdr>
        </w:div>
        <w:div w:id="215548253">
          <w:marLeft w:val="0"/>
          <w:marRight w:val="0"/>
          <w:marTop w:val="0"/>
          <w:marBottom w:val="0"/>
          <w:divBdr>
            <w:top w:val="none" w:sz="0" w:space="0" w:color="auto"/>
            <w:left w:val="none" w:sz="0" w:space="0" w:color="auto"/>
            <w:bottom w:val="none" w:sz="0" w:space="0" w:color="auto"/>
            <w:right w:val="none" w:sz="0" w:space="0" w:color="auto"/>
          </w:divBdr>
          <w:divsChild>
            <w:div w:id="868420966">
              <w:marLeft w:val="0"/>
              <w:marRight w:val="0"/>
              <w:marTop w:val="0"/>
              <w:marBottom w:val="0"/>
              <w:divBdr>
                <w:top w:val="none" w:sz="0" w:space="0" w:color="auto"/>
                <w:left w:val="none" w:sz="0" w:space="0" w:color="auto"/>
                <w:bottom w:val="none" w:sz="0" w:space="0" w:color="auto"/>
                <w:right w:val="none" w:sz="0" w:space="0" w:color="auto"/>
              </w:divBdr>
              <w:divsChild>
                <w:div w:id="1302811268">
                  <w:marLeft w:val="0"/>
                  <w:marRight w:val="0"/>
                  <w:marTop w:val="0"/>
                  <w:marBottom w:val="0"/>
                  <w:divBdr>
                    <w:top w:val="none" w:sz="0" w:space="0" w:color="auto"/>
                    <w:left w:val="none" w:sz="0" w:space="0" w:color="auto"/>
                    <w:bottom w:val="none" w:sz="0" w:space="0" w:color="auto"/>
                    <w:right w:val="none" w:sz="0" w:space="0" w:color="auto"/>
                  </w:divBdr>
                  <w:divsChild>
                    <w:div w:id="796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798">
              <w:marLeft w:val="0"/>
              <w:marRight w:val="0"/>
              <w:marTop w:val="0"/>
              <w:marBottom w:val="0"/>
              <w:divBdr>
                <w:top w:val="none" w:sz="0" w:space="0" w:color="auto"/>
                <w:left w:val="none" w:sz="0" w:space="0" w:color="auto"/>
                <w:bottom w:val="none" w:sz="0" w:space="0" w:color="auto"/>
                <w:right w:val="none" w:sz="0" w:space="0" w:color="auto"/>
              </w:divBdr>
              <w:divsChild>
                <w:div w:id="2037845188">
                  <w:marLeft w:val="0"/>
                  <w:marRight w:val="0"/>
                  <w:marTop w:val="0"/>
                  <w:marBottom w:val="0"/>
                  <w:divBdr>
                    <w:top w:val="none" w:sz="0" w:space="0" w:color="auto"/>
                    <w:left w:val="none" w:sz="0" w:space="0" w:color="auto"/>
                    <w:bottom w:val="none" w:sz="0" w:space="0" w:color="auto"/>
                    <w:right w:val="none" w:sz="0" w:space="0" w:color="auto"/>
                  </w:divBdr>
                  <w:divsChild>
                    <w:div w:id="24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9960">
          <w:marLeft w:val="0"/>
          <w:marRight w:val="0"/>
          <w:marTop w:val="0"/>
          <w:marBottom w:val="0"/>
          <w:divBdr>
            <w:top w:val="none" w:sz="0" w:space="0" w:color="auto"/>
            <w:left w:val="none" w:sz="0" w:space="0" w:color="auto"/>
            <w:bottom w:val="none" w:sz="0" w:space="0" w:color="auto"/>
            <w:right w:val="none" w:sz="0" w:space="0" w:color="auto"/>
          </w:divBdr>
        </w:div>
        <w:div w:id="1441679125">
          <w:marLeft w:val="0"/>
          <w:marRight w:val="0"/>
          <w:marTop w:val="0"/>
          <w:marBottom w:val="0"/>
          <w:divBdr>
            <w:top w:val="none" w:sz="0" w:space="0" w:color="auto"/>
            <w:left w:val="none" w:sz="0" w:space="0" w:color="auto"/>
            <w:bottom w:val="none" w:sz="0" w:space="0" w:color="auto"/>
            <w:right w:val="none" w:sz="0" w:space="0" w:color="auto"/>
          </w:divBdr>
          <w:divsChild>
            <w:div w:id="76027057">
              <w:marLeft w:val="0"/>
              <w:marRight w:val="0"/>
              <w:marTop w:val="0"/>
              <w:marBottom w:val="0"/>
              <w:divBdr>
                <w:top w:val="none" w:sz="0" w:space="0" w:color="auto"/>
                <w:left w:val="none" w:sz="0" w:space="0" w:color="auto"/>
                <w:bottom w:val="none" w:sz="0" w:space="0" w:color="auto"/>
                <w:right w:val="none" w:sz="0" w:space="0" w:color="auto"/>
              </w:divBdr>
              <w:divsChild>
                <w:div w:id="2133548055">
                  <w:marLeft w:val="0"/>
                  <w:marRight w:val="0"/>
                  <w:marTop w:val="0"/>
                  <w:marBottom w:val="0"/>
                  <w:divBdr>
                    <w:top w:val="none" w:sz="0" w:space="0" w:color="auto"/>
                    <w:left w:val="none" w:sz="0" w:space="0" w:color="auto"/>
                    <w:bottom w:val="none" w:sz="0" w:space="0" w:color="auto"/>
                    <w:right w:val="none" w:sz="0" w:space="0" w:color="auto"/>
                  </w:divBdr>
                  <w:divsChild>
                    <w:div w:id="71816903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6657">
          <w:marLeft w:val="0"/>
          <w:marRight w:val="0"/>
          <w:marTop w:val="0"/>
          <w:marBottom w:val="0"/>
          <w:divBdr>
            <w:top w:val="none" w:sz="0" w:space="0" w:color="auto"/>
            <w:left w:val="none" w:sz="0" w:space="0" w:color="auto"/>
            <w:bottom w:val="none" w:sz="0" w:space="0" w:color="auto"/>
            <w:right w:val="none" w:sz="0" w:space="0" w:color="auto"/>
          </w:divBdr>
          <w:divsChild>
            <w:div w:id="1009911784">
              <w:marLeft w:val="0"/>
              <w:marRight w:val="0"/>
              <w:marTop w:val="0"/>
              <w:marBottom w:val="0"/>
              <w:divBdr>
                <w:top w:val="none" w:sz="0" w:space="0" w:color="auto"/>
                <w:left w:val="none" w:sz="0" w:space="0" w:color="auto"/>
                <w:bottom w:val="none" w:sz="0" w:space="0" w:color="auto"/>
                <w:right w:val="none" w:sz="0" w:space="0" w:color="auto"/>
              </w:divBdr>
              <w:divsChild>
                <w:div w:id="175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7034">
          <w:marLeft w:val="0"/>
          <w:marRight w:val="0"/>
          <w:marTop w:val="0"/>
          <w:marBottom w:val="0"/>
          <w:divBdr>
            <w:top w:val="none" w:sz="0" w:space="0" w:color="auto"/>
            <w:left w:val="none" w:sz="0" w:space="0" w:color="auto"/>
            <w:bottom w:val="none" w:sz="0" w:space="0" w:color="auto"/>
            <w:right w:val="none" w:sz="0" w:space="0" w:color="auto"/>
          </w:divBdr>
        </w:div>
        <w:div w:id="1898929430">
          <w:marLeft w:val="0"/>
          <w:marRight w:val="0"/>
          <w:marTop w:val="0"/>
          <w:marBottom w:val="0"/>
          <w:divBdr>
            <w:top w:val="none" w:sz="0" w:space="0" w:color="auto"/>
            <w:left w:val="none" w:sz="0" w:space="0" w:color="auto"/>
            <w:bottom w:val="none" w:sz="0" w:space="0" w:color="auto"/>
            <w:right w:val="none" w:sz="0" w:space="0" w:color="auto"/>
          </w:divBdr>
          <w:divsChild>
            <w:div w:id="178585649">
              <w:marLeft w:val="0"/>
              <w:marRight w:val="0"/>
              <w:marTop w:val="0"/>
              <w:marBottom w:val="0"/>
              <w:divBdr>
                <w:top w:val="none" w:sz="0" w:space="0" w:color="auto"/>
                <w:left w:val="none" w:sz="0" w:space="0" w:color="auto"/>
                <w:bottom w:val="none" w:sz="0" w:space="0" w:color="auto"/>
                <w:right w:val="none" w:sz="0" w:space="0" w:color="auto"/>
              </w:divBdr>
              <w:divsChild>
                <w:div w:id="1989818399">
                  <w:marLeft w:val="0"/>
                  <w:marRight w:val="0"/>
                  <w:marTop w:val="0"/>
                  <w:marBottom w:val="0"/>
                  <w:divBdr>
                    <w:top w:val="none" w:sz="0" w:space="0" w:color="auto"/>
                    <w:left w:val="none" w:sz="0" w:space="0" w:color="auto"/>
                    <w:bottom w:val="none" w:sz="0" w:space="0" w:color="auto"/>
                    <w:right w:val="none" w:sz="0" w:space="0" w:color="auto"/>
                  </w:divBdr>
                  <w:divsChild>
                    <w:div w:id="1279291343">
                      <w:marLeft w:val="0"/>
                      <w:marRight w:val="0"/>
                      <w:marTop w:val="0"/>
                      <w:marBottom w:val="0"/>
                      <w:divBdr>
                        <w:top w:val="none" w:sz="0" w:space="0" w:color="auto"/>
                        <w:left w:val="none" w:sz="0" w:space="0" w:color="auto"/>
                        <w:bottom w:val="none" w:sz="0" w:space="0" w:color="auto"/>
                        <w:right w:val="none" w:sz="0" w:space="0" w:color="auto"/>
                      </w:divBdr>
                      <w:divsChild>
                        <w:div w:id="1298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2724">
          <w:marLeft w:val="0"/>
          <w:marRight w:val="0"/>
          <w:marTop w:val="0"/>
          <w:marBottom w:val="0"/>
          <w:divBdr>
            <w:top w:val="none" w:sz="0" w:space="0" w:color="auto"/>
            <w:left w:val="none" w:sz="0" w:space="0" w:color="auto"/>
            <w:bottom w:val="none" w:sz="0" w:space="0" w:color="auto"/>
            <w:right w:val="none" w:sz="0" w:space="0" w:color="auto"/>
          </w:divBdr>
          <w:divsChild>
            <w:div w:id="384138218">
              <w:marLeft w:val="0"/>
              <w:marRight w:val="0"/>
              <w:marTop w:val="0"/>
              <w:marBottom w:val="0"/>
              <w:divBdr>
                <w:top w:val="none" w:sz="0" w:space="0" w:color="auto"/>
                <w:left w:val="none" w:sz="0" w:space="0" w:color="auto"/>
                <w:bottom w:val="none" w:sz="0" w:space="0" w:color="auto"/>
                <w:right w:val="none" w:sz="0" w:space="0" w:color="auto"/>
              </w:divBdr>
              <w:divsChild>
                <w:div w:id="49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351">
          <w:marLeft w:val="0"/>
          <w:marRight w:val="0"/>
          <w:marTop w:val="0"/>
          <w:marBottom w:val="0"/>
          <w:divBdr>
            <w:top w:val="none" w:sz="0" w:space="0" w:color="auto"/>
            <w:left w:val="none" w:sz="0" w:space="0" w:color="auto"/>
            <w:bottom w:val="none" w:sz="0" w:space="0" w:color="auto"/>
            <w:right w:val="none" w:sz="0" w:space="0" w:color="auto"/>
          </w:divBdr>
          <w:divsChild>
            <w:div w:id="2094399902">
              <w:marLeft w:val="0"/>
              <w:marRight w:val="0"/>
              <w:marTop w:val="0"/>
              <w:marBottom w:val="0"/>
              <w:divBdr>
                <w:top w:val="none" w:sz="0" w:space="0" w:color="auto"/>
                <w:left w:val="none" w:sz="0" w:space="0" w:color="auto"/>
                <w:bottom w:val="none" w:sz="0" w:space="0" w:color="auto"/>
                <w:right w:val="none" w:sz="0" w:space="0" w:color="auto"/>
              </w:divBdr>
              <w:divsChild>
                <w:div w:id="2028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0454">
          <w:marLeft w:val="0"/>
          <w:marRight w:val="0"/>
          <w:marTop w:val="0"/>
          <w:marBottom w:val="0"/>
          <w:divBdr>
            <w:top w:val="none" w:sz="0" w:space="0" w:color="auto"/>
            <w:left w:val="none" w:sz="0" w:space="0" w:color="auto"/>
            <w:bottom w:val="none" w:sz="0" w:space="0" w:color="auto"/>
            <w:right w:val="none" w:sz="0" w:space="0" w:color="auto"/>
          </w:divBdr>
          <w:divsChild>
            <w:div w:id="13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074">
      <w:bodyDiv w:val="1"/>
      <w:marLeft w:val="0"/>
      <w:marRight w:val="0"/>
      <w:marTop w:val="0"/>
      <w:marBottom w:val="0"/>
      <w:divBdr>
        <w:top w:val="none" w:sz="0" w:space="0" w:color="auto"/>
        <w:left w:val="none" w:sz="0" w:space="0" w:color="auto"/>
        <w:bottom w:val="none" w:sz="0" w:space="0" w:color="auto"/>
        <w:right w:val="none" w:sz="0" w:space="0" w:color="auto"/>
      </w:divBdr>
      <w:divsChild>
        <w:div w:id="1968706820">
          <w:marLeft w:val="0"/>
          <w:marRight w:val="0"/>
          <w:marTop w:val="0"/>
          <w:marBottom w:val="0"/>
          <w:divBdr>
            <w:top w:val="none" w:sz="0" w:space="0" w:color="auto"/>
            <w:left w:val="none" w:sz="0" w:space="0" w:color="auto"/>
            <w:bottom w:val="none" w:sz="0" w:space="0" w:color="auto"/>
            <w:right w:val="none" w:sz="0" w:space="0" w:color="auto"/>
          </w:divBdr>
          <w:divsChild>
            <w:div w:id="358896288">
              <w:marLeft w:val="0"/>
              <w:marRight w:val="0"/>
              <w:marTop w:val="0"/>
              <w:marBottom w:val="0"/>
              <w:divBdr>
                <w:top w:val="none" w:sz="0" w:space="0" w:color="auto"/>
                <w:left w:val="none" w:sz="0" w:space="0" w:color="auto"/>
                <w:bottom w:val="none" w:sz="0" w:space="0" w:color="auto"/>
                <w:right w:val="none" w:sz="0" w:space="0" w:color="auto"/>
              </w:divBdr>
              <w:divsChild>
                <w:div w:id="749891812">
                  <w:marLeft w:val="0"/>
                  <w:marRight w:val="0"/>
                  <w:marTop w:val="0"/>
                  <w:marBottom w:val="0"/>
                  <w:divBdr>
                    <w:top w:val="none" w:sz="0" w:space="0" w:color="auto"/>
                    <w:left w:val="none" w:sz="0" w:space="0" w:color="auto"/>
                    <w:bottom w:val="none" w:sz="0" w:space="0" w:color="auto"/>
                    <w:right w:val="none" w:sz="0" w:space="0" w:color="auto"/>
                  </w:divBdr>
                  <w:divsChild>
                    <w:div w:id="163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1543">
      <w:bodyDiv w:val="1"/>
      <w:marLeft w:val="0"/>
      <w:marRight w:val="0"/>
      <w:marTop w:val="0"/>
      <w:marBottom w:val="0"/>
      <w:divBdr>
        <w:top w:val="none" w:sz="0" w:space="0" w:color="auto"/>
        <w:left w:val="none" w:sz="0" w:space="0" w:color="auto"/>
        <w:bottom w:val="none" w:sz="0" w:space="0" w:color="auto"/>
        <w:right w:val="none" w:sz="0" w:space="0" w:color="auto"/>
      </w:divBdr>
      <w:divsChild>
        <w:div w:id="1458061421">
          <w:marLeft w:val="0"/>
          <w:marRight w:val="0"/>
          <w:marTop w:val="0"/>
          <w:marBottom w:val="0"/>
          <w:divBdr>
            <w:top w:val="none" w:sz="0" w:space="0" w:color="auto"/>
            <w:left w:val="none" w:sz="0" w:space="0" w:color="auto"/>
            <w:bottom w:val="none" w:sz="0" w:space="0" w:color="auto"/>
            <w:right w:val="none" w:sz="0" w:space="0" w:color="auto"/>
          </w:divBdr>
        </w:div>
        <w:div w:id="975913930">
          <w:marLeft w:val="0"/>
          <w:marRight w:val="0"/>
          <w:marTop w:val="0"/>
          <w:marBottom w:val="0"/>
          <w:divBdr>
            <w:top w:val="none" w:sz="0" w:space="0" w:color="auto"/>
            <w:left w:val="none" w:sz="0" w:space="0" w:color="auto"/>
            <w:bottom w:val="none" w:sz="0" w:space="0" w:color="auto"/>
            <w:right w:val="none" w:sz="0" w:space="0" w:color="auto"/>
          </w:divBdr>
        </w:div>
        <w:div w:id="892890536">
          <w:marLeft w:val="0"/>
          <w:marRight w:val="0"/>
          <w:marTop w:val="0"/>
          <w:marBottom w:val="0"/>
          <w:divBdr>
            <w:top w:val="none" w:sz="0" w:space="0" w:color="auto"/>
            <w:left w:val="none" w:sz="0" w:space="0" w:color="auto"/>
            <w:bottom w:val="none" w:sz="0" w:space="0" w:color="auto"/>
            <w:right w:val="none" w:sz="0" w:space="0" w:color="auto"/>
          </w:divBdr>
        </w:div>
        <w:div w:id="177501767">
          <w:marLeft w:val="0"/>
          <w:marRight w:val="0"/>
          <w:marTop w:val="0"/>
          <w:marBottom w:val="0"/>
          <w:divBdr>
            <w:top w:val="none" w:sz="0" w:space="0" w:color="auto"/>
            <w:left w:val="none" w:sz="0" w:space="0" w:color="auto"/>
            <w:bottom w:val="none" w:sz="0" w:space="0" w:color="auto"/>
            <w:right w:val="none" w:sz="0" w:space="0" w:color="auto"/>
          </w:divBdr>
          <w:divsChild>
            <w:div w:id="1767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536">
      <w:bodyDiv w:val="1"/>
      <w:marLeft w:val="0"/>
      <w:marRight w:val="0"/>
      <w:marTop w:val="0"/>
      <w:marBottom w:val="0"/>
      <w:divBdr>
        <w:top w:val="none" w:sz="0" w:space="0" w:color="auto"/>
        <w:left w:val="none" w:sz="0" w:space="0" w:color="auto"/>
        <w:bottom w:val="none" w:sz="0" w:space="0" w:color="auto"/>
        <w:right w:val="none" w:sz="0" w:space="0" w:color="auto"/>
      </w:divBdr>
      <w:divsChild>
        <w:div w:id="881091420">
          <w:marLeft w:val="0"/>
          <w:marRight w:val="0"/>
          <w:marTop w:val="0"/>
          <w:marBottom w:val="0"/>
          <w:divBdr>
            <w:top w:val="none" w:sz="0" w:space="0" w:color="auto"/>
            <w:left w:val="none" w:sz="0" w:space="0" w:color="auto"/>
            <w:bottom w:val="none" w:sz="0" w:space="0" w:color="auto"/>
            <w:right w:val="none" w:sz="0" w:space="0" w:color="auto"/>
          </w:divBdr>
        </w:div>
        <w:div w:id="784428143">
          <w:marLeft w:val="0"/>
          <w:marRight w:val="0"/>
          <w:marTop w:val="0"/>
          <w:marBottom w:val="0"/>
          <w:divBdr>
            <w:top w:val="none" w:sz="0" w:space="0" w:color="auto"/>
            <w:left w:val="none" w:sz="0" w:space="0" w:color="auto"/>
            <w:bottom w:val="none" w:sz="0" w:space="0" w:color="auto"/>
            <w:right w:val="none" w:sz="0" w:space="0" w:color="auto"/>
          </w:divBdr>
          <w:divsChild>
            <w:div w:id="1741175426">
              <w:marLeft w:val="0"/>
              <w:marRight w:val="0"/>
              <w:marTop w:val="0"/>
              <w:marBottom w:val="0"/>
              <w:divBdr>
                <w:top w:val="none" w:sz="0" w:space="0" w:color="auto"/>
                <w:left w:val="none" w:sz="0" w:space="0" w:color="auto"/>
                <w:bottom w:val="none" w:sz="0" w:space="0" w:color="auto"/>
                <w:right w:val="none" w:sz="0" w:space="0" w:color="auto"/>
              </w:divBdr>
            </w:div>
            <w:div w:id="956372722">
              <w:marLeft w:val="0"/>
              <w:marRight w:val="0"/>
              <w:marTop w:val="0"/>
              <w:marBottom w:val="0"/>
              <w:divBdr>
                <w:top w:val="none" w:sz="0" w:space="0" w:color="auto"/>
                <w:left w:val="none" w:sz="0" w:space="0" w:color="auto"/>
                <w:bottom w:val="none" w:sz="0" w:space="0" w:color="auto"/>
                <w:right w:val="none" w:sz="0" w:space="0" w:color="auto"/>
              </w:divBdr>
            </w:div>
            <w:div w:id="1117137614">
              <w:marLeft w:val="0"/>
              <w:marRight w:val="0"/>
              <w:marTop w:val="0"/>
              <w:marBottom w:val="0"/>
              <w:divBdr>
                <w:top w:val="none" w:sz="0" w:space="0" w:color="auto"/>
                <w:left w:val="none" w:sz="0" w:space="0" w:color="auto"/>
                <w:bottom w:val="none" w:sz="0" w:space="0" w:color="auto"/>
                <w:right w:val="none" w:sz="0" w:space="0" w:color="auto"/>
              </w:divBdr>
            </w:div>
          </w:divsChild>
        </w:div>
        <w:div w:id="92669734">
          <w:marLeft w:val="0"/>
          <w:marRight w:val="0"/>
          <w:marTop w:val="0"/>
          <w:marBottom w:val="0"/>
          <w:divBdr>
            <w:top w:val="none" w:sz="0" w:space="0" w:color="auto"/>
            <w:left w:val="none" w:sz="0" w:space="0" w:color="auto"/>
            <w:bottom w:val="none" w:sz="0" w:space="0" w:color="auto"/>
            <w:right w:val="none" w:sz="0" w:space="0" w:color="auto"/>
          </w:divBdr>
        </w:div>
      </w:divsChild>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752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04">
          <w:marLeft w:val="0"/>
          <w:marRight w:val="0"/>
          <w:marTop w:val="0"/>
          <w:marBottom w:val="0"/>
          <w:divBdr>
            <w:top w:val="none" w:sz="0" w:space="0" w:color="auto"/>
            <w:left w:val="none" w:sz="0" w:space="0" w:color="auto"/>
            <w:bottom w:val="none" w:sz="0" w:space="0" w:color="auto"/>
            <w:right w:val="none" w:sz="0" w:space="0" w:color="auto"/>
          </w:divBdr>
        </w:div>
        <w:div w:id="1640649423">
          <w:marLeft w:val="0"/>
          <w:marRight w:val="0"/>
          <w:marTop w:val="0"/>
          <w:marBottom w:val="0"/>
          <w:divBdr>
            <w:top w:val="none" w:sz="0" w:space="0" w:color="auto"/>
            <w:left w:val="none" w:sz="0" w:space="0" w:color="auto"/>
            <w:bottom w:val="none" w:sz="0" w:space="0" w:color="auto"/>
            <w:right w:val="none" w:sz="0" w:space="0" w:color="auto"/>
          </w:divBdr>
        </w:div>
        <w:div w:id="1719091886">
          <w:marLeft w:val="0"/>
          <w:marRight w:val="0"/>
          <w:marTop w:val="0"/>
          <w:marBottom w:val="0"/>
          <w:divBdr>
            <w:top w:val="none" w:sz="0" w:space="0" w:color="auto"/>
            <w:left w:val="none" w:sz="0" w:space="0" w:color="auto"/>
            <w:bottom w:val="none" w:sz="0" w:space="0" w:color="auto"/>
            <w:right w:val="none" w:sz="0" w:space="0" w:color="auto"/>
          </w:divBdr>
        </w:div>
        <w:div w:id="257176168">
          <w:marLeft w:val="0"/>
          <w:marRight w:val="0"/>
          <w:marTop w:val="0"/>
          <w:marBottom w:val="0"/>
          <w:divBdr>
            <w:top w:val="none" w:sz="0" w:space="0" w:color="auto"/>
            <w:left w:val="none" w:sz="0" w:space="0" w:color="auto"/>
            <w:bottom w:val="none" w:sz="0" w:space="0" w:color="auto"/>
            <w:right w:val="none" w:sz="0" w:space="0" w:color="auto"/>
          </w:divBdr>
        </w:div>
      </w:divsChild>
    </w:div>
    <w:div w:id="1457019883">
      <w:bodyDiv w:val="1"/>
      <w:marLeft w:val="0"/>
      <w:marRight w:val="0"/>
      <w:marTop w:val="0"/>
      <w:marBottom w:val="0"/>
      <w:divBdr>
        <w:top w:val="none" w:sz="0" w:space="0" w:color="auto"/>
        <w:left w:val="none" w:sz="0" w:space="0" w:color="auto"/>
        <w:bottom w:val="none" w:sz="0" w:space="0" w:color="auto"/>
        <w:right w:val="none" w:sz="0" w:space="0" w:color="auto"/>
      </w:divBdr>
      <w:divsChild>
        <w:div w:id="731853830">
          <w:marLeft w:val="0"/>
          <w:marRight w:val="0"/>
          <w:marTop w:val="0"/>
          <w:marBottom w:val="0"/>
          <w:divBdr>
            <w:top w:val="none" w:sz="0" w:space="0" w:color="auto"/>
            <w:left w:val="none" w:sz="0" w:space="0" w:color="auto"/>
            <w:bottom w:val="none" w:sz="0" w:space="0" w:color="auto"/>
            <w:right w:val="none" w:sz="0" w:space="0" w:color="auto"/>
          </w:divBdr>
          <w:divsChild>
            <w:div w:id="333382907">
              <w:marLeft w:val="0"/>
              <w:marRight w:val="0"/>
              <w:marTop w:val="0"/>
              <w:marBottom w:val="0"/>
              <w:divBdr>
                <w:top w:val="none" w:sz="0" w:space="0" w:color="auto"/>
                <w:left w:val="none" w:sz="0" w:space="0" w:color="auto"/>
                <w:bottom w:val="none" w:sz="0" w:space="0" w:color="auto"/>
                <w:right w:val="none" w:sz="0" w:space="0" w:color="auto"/>
              </w:divBdr>
              <w:divsChild>
                <w:div w:id="855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05370">
          <w:marLeft w:val="0"/>
          <w:marRight w:val="0"/>
          <w:marTop w:val="0"/>
          <w:marBottom w:val="0"/>
          <w:divBdr>
            <w:top w:val="none" w:sz="0" w:space="0" w:color="auto"/>
            <w:left w:val="none" w:sz="0" w:space="0" w:color="auto"/>
            <w:bottom w:val="none" w:sz="0" w:space="0" w:color="auto"/>
            <w:right w:val="none" w:sz="0" w:space="0" w:color="auto"/>
          </w:divBdr>
        </w:div>
        <w:div w:id="103772157">
          <w:marLeft w:val="0"/>
          <w:marRight w:val="0"/>
          <w:marTop w:val="0"/>
          <w:marBottom w:val="0"/>
          <w:divBdr>
            <w:top w:val="none" w:sz="0" w:space="0" w:color="auto"/>
            <w:left w:val="none" w:sz="0" w:space="0" w:color="auto"/>
            <w:bottom w:val="none" w:sz="0" w:space="0" w:color="auto"/>
            <w:right w:val="none" w:sz="0" w:space="0" w:color="auto"/>
          </w:divBdr>
        </w:div>
        <w:div w:id="2013213668">
          <w:marLeft w:val="0"/>
          <w:marRight w:val="0"/>
          <w:marTop w:val="0"/>
          <w:marBottom w:val="0"/>
          <w:divBdr>
            <w:top w:val="none" w:sz="0" w:space="0" w:color="auto"/>
            <w:left w:val="none" w:sz="0" w:space="0" w:color="auto"/>
            <w:bottom w:val="none" w:sz="0" w:space="0" w:color="auto"/>
            <w:right w:val="none" w:sz="0" w:space="0" w:color="auto"/>
          </w:divBdr>
        </w:div>
        <w:div w:id="965086738">
          <w:marLeft w:val="0"/>
          <w:marRight w:val="0"/>
          <w:marTop w:val="0"/>
          <w:marBottom w:val="0"/>
          <w:divBdr>
            <w:top w:val="none" w:sz="0" w:space="0" w:color="auto"/>
            <w:left w:val="none" w:sz="0" w:space="0" w:color="auto"/>
            <w:bottom w:val="none" w:sz="0" w:space="0" w:color="auto"/>
            <w:right w:val="none" w:sz="0" w:space="0" w:color="auto"/>
          </w:divBdr>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 w:id="1678263481">
      <w:bodyDiv w:val="1"/>
      <w:marLeft w:val="0"/>
      <w:marRight w:val="0"/>
      <w:marTop w:val="0"/>
      <w:marBottom w:val="0"/>
      <w:divBdr>
        <w:top w:val="none" w:sz="0" w:space="0" w:color="auto"/>
        <w:left w:val="none" w:sz="0" w:space="0" w:color="auto"/>
        <w:bottom w:val="none" w:sz="0" w:space="0" w:color="auto"/>
        <w:right w:val="none" w:sz="0" w:space="0" w:color="auto"/>
      </w:divBdr>
      <w:divsChild>
        <w:div w:id="1686860424">
          <w:marLeft w:val="0"/>
          <w:marRight w:val="0"/>
          <w:marTop w:val="0"/>
          <w:marBottom w:val="0"/>
          <w:divBdr>
            <w:top w:val="none" w:sz="0" w:space="0" w:color="auto"/>
            <w:left w:val="none" w:sz="0" w:space="0" w:color="auto"/>
            <w:bottom w:val="none" w:sz="0" w:space="0" w:color="auto"/>
            <w:right w:val="none" w:sz="0" w:space="0" w:color="auto"/>
          </w:divBdr>
        </w:div>
        <w:div w:id="1723744729">
          <w:marLeft w:val="0"/>
          <w:marRight w:val="0"/>
          <w:marTop w:val="0"/>
          <w:marBottom w:val="0"/>
          <w:divBdr>
            <w:top w:val="none" w:sz="0" w:space="0" w:color="auto"/>
            <w:left w:val="none" w:sz="0" w:space="0" w:color="auto"/>
            <w:bottom w:val="none" w:sz="0" w:space="0" w:color="auto"/>
            <w:right w:val="none" w:sz="0" w:space="0" w:color="auto"/>
          </w:divBdr>
        </w:div>
        <w:div w:id="1221361311">
          <w:marLeft w:val="0"/>
          <w:marRight w:val="0"/>
          <w:marTop w:val="0"/>
          <w:marBottom w:val="0"/>
          <w:divBdr>
            <w:top w:val="none" w:sz="0" w:space="0" w:color="auto"/>
            <w:left w:val="none" w:sz="0" w:space="0" w:color="auto"/>
            <w:bottom w:val="none" w:sz="0" w:space="0" w:color="auto"/>
            <w:right w:val="none" w:sz="0" w:space="0" w:color="auto"/>
          </w:divBdr>
        </w:div>
        <w:div w:id="252596322">
          <w:marLeft w:val="0"/>
          <w:marRight w:val="0"/>
          <w:marTop w:val="0"/>
          <w:marBottom w:val="0"/>
          <w:divBdr>
            <w:top w:val="none" w:sz="0" w:space="0" w:color="auto"/>
            <w:left w:val="none" w:sz="0" w:space="0" w:color="auto"/>
            <w:bottom w:val="none" w:sz="0" w:space="0" w:color="auto"/>
            <w:right w:val="none" w:sz="0" w:space="0" w:color="auto"/>
          </w:divBdr>
          <w:divsChild>
            <w:div w:id="1486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18"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26"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39" Type="http://schemas.openxmlformats.org/officeDocument/2006/relationships/hyperlink" Target="https://www.cnil.fr/fr/tag/Elections" TargetMode="External"/><Relationship Id="rId21"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34" Type="http://schemas.openxmlformats.org/officeDocument/2006/relationships/hyperlink" Target="https://www.cnil.fr/fr/elections-2016-2017-quelles-regles-doivent-respecter-les-candidats-et-partis" TargetMode="External"/><Relationship Id="rId42" Type="http://schemas.openxmlformats.org/officeDocument/2006/relationships/hyperlink" Target="https://www.cnil.fr/sites/default/files/atoms/files/guide_cnil_et_csa.pdf" TargetMode="External"/><Relationship Id="rId47" Type="http://schemas.openxmlformats.org/officeDocument/2006/relationships/hyperlink" Target="https://www.cnil.fr/sites/default/files/atoms/files/guide_cnil_et_csa.pdf" TargetMode="External"/><Relationship Id="rId50" Type="http://schemas.openxmlformats.org/officeDocument/2006/relationships/hyperlink" Target="https://www.cnil.fr/sites/default/files/typo/document/CDM_256_10Conseils_Cnil.pdf" TargetMode="External"/><Relationship Id="rId55" Type="http://schemas.openxmlformats.org/officeDocument/2006/relationships/hyperlink" Target="https://www.cnil.fr/sites/default/files/typo/document/CNIL_Politique.pdf" TargetMode="External"/><Relationship Id="rId63" Type="http://schemas.openxmlformats.org/officeDocument/2006/relationships/hyperlink" Target="https://www.cnil.fr/fr/communication-politique-quelles-sont-les-regles-pour-lutilisation-des-donnees-issues-des-reseaux" TargetMode="External"/><Relationship Id="rId7" Type="http://schemas.openxmlformats.org/officeDocument/2006/relationships/hyperlink" Target="mailto:stephane.cottin@gmail.com" TargetMode="External"/><Relationship Id="rId2" Type="http://schemas.openxmlformats.org/officeDocument/2006/relationships/styles" Target="styles.xml"/><Relationship Id="rId16"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9"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24"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32"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37" Type="http://schemas.openxmlformats.org/officeDocument/2006/relationships/hyperlink" Target="https://www.cnil.fr/fr/elections" TargetMode="External"/><Relationship Id="rId40" Type="http://schemas.openxmlformats.org/officeDocument/2006/relationships/hyperlink" Target="https://www.cnil.fr/fr/elections/obligations-des-partis" TargetMode="External"/><Relationship Id="rId45" Type="http://schemas.openxmlformats.org/officeDocument/2006/relationships/hyperlink" Target="https://www.cnil.fr/fr/webform/signalement-prospection-politique" TargetMode="External"/><Relationship Id="rId53"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58" Type="http://schemas.openxmlformats.org/officeDocument/2006/relationships/hyperlink" Target="https://www.cnil.fr/fr/linstitution/actualite/article/article/le-tract-de-la-feuille-volante-au-fichier-informatiqu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23"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28"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36" Type="http://schemas.openxmlformats.org/officeDocument/2006/relationships/hyperlink" Target="https://www.cnil.fr/fr/elections/obligations-des-partis" TargetMode="External"/><Relationship Id="rId49" Type="http://schemas.openxmlformats.org/officeDocument/2006/relationships/hyperlink" Target="https://www.cnil.fr/sites/default/files/typo/document/CNIL_Politique.pdf" TargetMode="External"/><Relationship Id="rId57" Type="http://schemas.openxmlformats.org/officeDocument/2006/relationships/hyperlink" Target="https://www.cnil.fr/sites/default/files/typo/document/CNIL_Politique.pdf" TargetMode="External"/><Relationship Id="rId61" Type="http://schemas.openxmlformats.org/officeDocument/2006/relationships/hyperlink" Target="https://www.legifrance.gouv.fr/affichCnil.do?oldAction=rechExpCnil&amp;id=CNILTEXT000025364626&amp;fastReqId=1082859898&amp;fastPos=1" TargetMode="External"/><Relationship Id="rId10" Type="http://schemas.openxmlformats.org/officeDocument/2006/relationships/image" Target="media/image2.gif"/><Relationship Id="rId19"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31"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44" Type="http://schemas.openxmlformats.org/officeDocument/2006/relationships/hyperlink" Target="https://www.cnil.fr/fr/communication-politique-quelles-sont-les-regles-pour-lutilisation-des-donnees-issues-des-reseaux" TargetMode="External"/><Relationship Id="rId52" Type="http://schemas.openxmlformats.org/officeDocument/2006/relationships/hyperlink" Target="https://www.cnil.fr/fr/loi-78-17-du-6-janvier-1978-modifiee/" TargetMode="External"/><Relationship Id="rId60" Type="http://schemas.openxmlformats.org/officeDocument/2006/relationships/hyperlink" Target="https://www.cnil.fr/fr/node/248/" TargetMode="External"/><Relationship Id="rId65" Type="http://schemas.openxmlformats.org/officeDocument/2006/relationships/hyperlink" Target="https://www.cnil.fr/fr/communication-politique-quelles-sont-les-regles-pour-lutilisation-des-donnees-issues-des-reseaux" TargetMode="External"/><Relationship Id="rId4" Type="http://schemas.openxmlformats.org/officeDocument/2006/relationships/settings" Target="settings.xml"/><Relationship Id="rId9"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4"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22"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27"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30"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35" Type="http://schemas.openxmlformats.org/officeDocument/2006/relationships/hyperlink" Target="https://www.cnil.fr/fr/elections-2016-2017-quelles-regles-doivent-respecter-les-candidats-et-partis" TargetMode="External"/><Relationship Id="rId43" Type="http://schemas.openxmlformats.org/officeDocument/2006/relationships/hyperlink" Target="https://www.cnil.fr/fr/les-fichiers-constitues-dans-le-cadre-des-primaires-ouvertes" TargetMode="External"/><Relationship Id="rId48" Type="http://schemas.openxmlformats.org/officeDocument/2006/relationships/hyperlink" Target="http://www.legifrance.gouv.fr/affichCodeArticle.do?idArticle=LEGIARTI000006417981&amp;cidTexte=LEGITEXT000006070719" TargetMode="External"/><Relationship Id="rId56" Type="http://schemas.openxmlformats.org/officeDocument/2006/relationships/hyperlink" Target="https://www.cnil.fr/sites/default/files/typo/document/CNIL_Politique.pdf" TargetMode="External"/><Relationship Id="rId64" Type="http://schemas.openxmlformats.org/officeDocument/2006/relationships/hyperlink" Target="https://www.cnil.fr/fr/communication-politique-quelles-sont-les-regles-pour-lutilisation-des-donnees-issues-des-reseaux" TargetMode="External"/><Relationship Id="rId8" Type="http://schemas.openxmlformats.org/officeDocument/2006/relationships/hyperlink" Target="http://www.electoral.fr" TargetMode="External"/><Relationship Id="rId51" Type="http://schemas.openxmlformats.org/officeDocument/2006/relationships/hyperlink" Target="https://www.cnil.fr/sites/default/files/typo/document/CNIL_Politique.pdf" TargetMode="External"/><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25" Type="http://schemas.openxmlformats.org/officeDocument/2006/relationships/image" Target="media/image4.gif"/><Relationship Id="rId33"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38" Type="http://schemas.openxmlformats.org/officeDocument/2006/relationships/hyperlink" Target="https://www.cnil.fr/sites/default/files/atoms/files/guide_cnil_et_csa.pdf" TargetMode="External"/><Relationship Id="rId46" Type="http://schemas.openxmlformats.org/officeDocument/2006/relationships/hyperlink" Target="https://www.cnil.fr/sites/default/files/atoms/files/guide_cnil_et_csa.pdf" TargetMode="External"/><Relationship Id="rId59" Type="http://schemas.openxmlformats.org/officeDocument/2006/relationships/hyperlink" Target="https://www.cnil.fr/sites/default/files/typo/document/CNIL_Politique.pdf" TargetMode="External"/><Relationship Id="rId67" Type="http://schemas.openxmlformats.org/officeDocument/2006/relationships/theme" Target="theme/theme1.xml"/><Relationship Id="rId20"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41" Type="http://schemas.openxmlformats.org/officeDocument/2006/relationships/hyperlink" Target="https://www.cnil.fr/fr/vie-politique" TargetMode="External"/><Relationship Id="rId54" Type="http://schemas.openxmlformats.org/officeDocument/2006/relationships/hyperlink" Target="https://www.cnil.fr/sites/default/files/typo/document/CNIL_Politique.pdf" TargetMode="External"/><Relationship Id="rId62" Type="http://schemas.openxmlformats.org/officeDocument/2006/relationships/hyperlink" Target="https://www.cnil.fr/fr/communication-politique-quelles-sont-les-regles-pour-lutilisation-des-donnees-issues-des-rese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4C18C002</Template>
  <TotalTime>3</TotalTime>
  <Pages>24</Pages>
  <Words>10144</Words>
  <Characters>59846</Characters>
  <Application>Microsoft Office Word</Application>
  <DocSecurity>0</DocSecurity>
  <Lines>498</Lines>
  <Paragraphs>139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2017-12-18T09:25:00Z</dcterms:created>
  <dcterms:modified xsi:type="dcterms:W3CDTF">2017-12-18T09:28:00Z</dcterms:modified>
</cp:coreProperties>
</file>