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AA" w:rsidRDefault="00EA51AA" w:rsidP="00EA51AA">
      <w:pPr>
        <w:jc w:val="center"/>
      </w:pPr>
      <w:r>
        <w:rPr>
          <w:noProof/>
          <w:lang w:eastAsia="fr-FR"/>
        </w:rPr>
        <w:drawing>
          <wp:inline distT="0" distB="0" distL="0" distR="0" wp14:anchorId="61D1409F" wp14:editId="33A90B80">
            <wp:extent cx="3086100" cy="9620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962025"/>
                    </a:xfrm>
                    <a:prstGeom prst="rect">
                      <a:avLst/>
                    </a:prstGeom>
                  </pic:spPr>
                </pic:pic>
              </a:graphicData>
            </a:graphic>
          </wp:inline>
        </w:drawing>
      </w:r>
    </w:p>
    <w:p w:rsidR="00EA51AA" w:rsidRPr="007653F4" w:rsidRDefault="00EA51AA" w:rsidP="00EA51AA">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A51AA" w:rsidRPr="007653F4" w:rsidRDefault="00EA51AA" w:rsidP="00EA51A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A51AA" w:rsidRPr="007653F4" w:rsidRDefault="00EA51AA" w:rsidP="00EA51AA">
      <w:pPr>
        <w:jc w:val="center"/>
        <w:rPr>
          <w:rFonts w:ascii="Cambria" w:hAnsi="Cambria"/>
          <w:b/>
          <w:bCs/>
        </w:rPr>
      </w:pPr>
    </w:p>
    <w:p w:rsidR="0053282D" w:rsidRPr="00F04826" w:rsidRDefault="000E657E" w:rsidP="0053282D">
      <w:pPr>
        <w:tabs>
          <w:tab w:val="left" w:pos="9000"/>
        </w:tabs>
        <w:rPr>
          <w:sz w:val="32"/>
          <w:szCs w:val="32"/>
        </w:rPr>
      </w:pPr>
      <w:r>
        <w:rPr>
          <w:sz w:val="32"/>
          <w:szCs w:val="32"/>
        </w:rPr>
        <w:t>Cours n° 2</w:t>
      </w:r>
      <w:r w:rsidR="0053282D" w:rsidRPr="00F04826">
        <w:rPr>
          <w:sz w:val="32"/>
          <w:szCs w:val="32"/>
        </w:rPr>
        <w:tab/>
        <w:t>20</w:t>
      </w:r>
      <w:r w:rsidR="001E73B5">
        <w:rPr>
          <w:sz w:val="32"/>
          <w:szCs w:val="32"/>
        </w:rPr>
        <w:t>20</w:t>
      </w:r>
    </w:p>
    <w:p w:rsidR="0053282D" w:rsidRPr="00F04826" w:rsidRDefault="0053282D" w:rsidP="0053282D">
      <w:pPr>
        <w:rPr>
          <w:sz w:val="32"/>
          <w:szCs w:val="32"/>
        </w:rPr>
      </w:pPr>
    </w:p>
    <w:p w:rsidR="0053282D" w:rsidRPr="00FA3D02" w:rsidRDefault="0053282D" w:rsidP="0053282D">
      <w:pPr>
        <w:jc w:val="center"/>
        <w:rPr>
          <w:sz w:val="40"/>
          <w:szCs w:val="22"/>
        </w:rPr>
      </w:pPr>
      <w:r w:rsidRPr="00FA3D02">
        <w:rPr>
          <w:bCs/>
          <w:sz w:val="40"/>
          <w:szCs w:val="18"/>
        </w:rPr>
        <w:t>Droit électoral et financement des campagnes</w:t>
      </w:r>
    </w:p>
    <w:p w:rsidR="00EA51AA" w:rsidRPr="00EA51AA" w:rsidRDefault="00EA51AA" w:rsidP="00396A56">
      <w:pPr>
        <w:numPr>
          <w:ilvl w:val="0"/>
          <w:numId w:val="18"/>
        </w:numPr>
        <w:autoSpaceDN w:val="0"/>
        <w:jc w:val="both"/>
        <w:rPr>
          <w:rFonts w:ascii="Cambria" w:hAnsi="Cambria"/>
        </w:rPr>
      </w:pPr>
      <w:r w:rsidRPr="00EA51AA">
        <w:rPr>
          <w:rFonts w:ascii="Cambria" w:hAnsi="Cambria"/>
        </w:rPr>
        <w:t>Grandes lignes du droit électoral : sources, évolutions des textes et présentation des acteurs.</w:t>
      </w:r>
    </w:p>
    <w:p w:rsidR="00EA51AA" w:rsidRPr="00EA51AA" w:rsidRDefault="00EA51AA" w:rsidP="00EA51AA">
      <w:pPr>
        <w:ind w:left="720"/>
        <w:rPr>
          <w:rFonts w:ascii="Cambria" w:hAnsi="Cambria"/>
        </w:rPr>
      </w:pPr>
      <w:r w:rsidRPr="00EA51AA">
        <w:rPr>
          <w:rFonts w:ascii="Cambria" w:hAnsi="Cambria"/>
        </w:rPr>
        <w:t xml:space="preserve">Contentieux du déroulement des élections : </w:t>
      </w:r>
    </w:p>
    <w:p w:rsidR="00EA51AA" w:rsidRPr="00EA51AA" w:rsidRDefault="00EA51AA" w:rsidP="00396A56">
      <w:pPr>
        <w:pStyle w:val="Paragraphedeliste"/>
        <w:numPr>
          <w:ilvl w:val="0"/>
          <w:numId w:val="18"/>
        </w:numPr>
        <w:rPr>
          <w:rFonts w:ascii="Cambria" w:hAnsi="Cambria"/>
          <w:sz w:val="32"/>
        </w:rPr>
      </w:pPr>
      <w:r w:rsidRPr="00EA51AA">
        <w:rPr>
          <w:rFonts w:ascii="Cambria" w:hAnsi="Cambria"/>
          <w:b/>
          <w:sz w:val="32"/>
        </w:rPr>
        <w:t>Encadrement de la communication politique (la "propagande") et des campagnes électorales.</w:t>
      </w:r>
    </w:p>
    <w:p w:rsidR="00EA51AA" w:rsidRPr="00396A56" w:rsidRDefault="00EA51AA" w:rsidP="00396A56">
      <w:pPr>
        <w:numPr>
          <w:ilvl w:val="0"/>
          <w:numId w:val="18"/>
        </w:numPr>
        <w:autoSpaceDN w:val="0"/>
        <w:spacing w:line="360" w:lineRule="auto"/>
        <w:jc w:val="both"/>
        <w:rPr>
          <w:rFonts w:ascii="Cambria" w:hAnsi="Cambria"/>
          <w:b/>
        </w:rPr>
      </w:pPr>
      <w:r w:rsidRPr="00396A56">
        <w:rPr>
          <w:rFonts w:ascii="Cambria" w:hAnsi="Cambria"/>
          <w:b/>
        </w:rPr>
        <w:t>Droit du financement de la vie politique : historique et principes.</w:t>
      </w:r>
    </w:p>
    <w:p w:rsidR="00EA51AA" w:rsidRPr="00EA51AA" w:rsidRDefault="00EA51AA" w:rsidP="00396A56">
      <w:pPr>
        <w:numPr>
          <w:ilvl w:val="0"/>
          <w:numId w:val="18"/>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A51AA" w:rsidRPr="00EA51AA" w:rsidRDefault="00EA51AA" w:rsidP="00EA51AA">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B90C01" w:rsidRDefault="00B90C01" w:rsidP="00B90C01"/>
    <w:p w:rsidR="00B82BF7" w:rsidRDefault="00EA51AA" w:rsidP="000E657E">
      <w:pPr>
        <w:pBdr>
          <w:top w:val="single" w:sz="4" w:space="1" w:color="auto"/>
          <w:left w:val="single" w:sz="4" w:space="4" w:color="auto"/>
          <w:bottom w:val="single" w:sz="4" w:space="1" w:color="auto"/>
          <w:right w:val="single" w:sz="4" w:space="4" w:color="auto"/>
        </w:pBdr>
      </w:pPr>
      <w:hyperlink r:id="rId9" w:history="1">
        <w:r w:rsidR="00B82BF7" w:rsidRPr="00447016">
          <w:rPr>
            <w:rStyle w:val="Lienhypertexte"/>
          </w:rPr>
          <w:t>https://www.cnil.fr/sites/default/files/typo/document/CNIL_Politique.pdf</w:t>
        </w:r>
      </w:hyperlink>
    </w:p>
    <w:p w:rsidR="00B90C01" w:rsidRDefault="00B90C01" w:rsidP="000E657E">
      <w:pPr>
        <w:pBdr>
          <w:top w:val="single" w:sz="4" w:space="1" w:color="auto"/>
          <w:left w:val="single" w:sz="4" w:space="4" w:color="auto"/>
          <w:bottom w:val="single" w:sz="4" w:space="1" w:color="auto"/>
          <w:right w:val="single" w:sz="4" w:space="4" w:color="auto"/>
        </w:pBdr>
      </w:pPr>
      <w:r w:rsidRPr="00B82BF7">
        <w:t>Communication politique : obligations légales et bonnes pratiques</w:t>
      </w:r>
    </w:p>
    <w:p w:rsidR="00B90C01" w:rsidRDefault="00B90C01" w:rsidP="000E657E">
      <w:pPr>
        <w:pBdr>
          <w:top w:val="single" w:sz="4" w:space="1" w:color="auto"/>
          <w:left w:val="single" w:sz="4" w:space="4" w:color="auto"/>
          <w:bottom w:val="single" w:sz="4" w:space="1" w:color="auto"/>
          <w:right w:val="single" w:sz="4" w:space="4" w:color="auto"/>
        </w:pBdr>
      </w:pPr>
      <w:r>
        <w:t>Les guides de la CNIL,</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Style w:val="lev"/>
        </w:rPr>
        <w:t>Code électoral</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L.52-8 prohibant toute aide des collectivités aux campagnes des candidats durant l'année précédant les élections.</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L.52-1 alinéa 2 excluant toute campagne de promotion publicitaire des réalisations et de la gestion des collectivités intéressées par des élections générales durant les six mois précédant le mois d'un scrutin.</w:t>
      </w:r>
    </w:p>
    <w:p w:rsidR="00B82BF7" w:rsidRDefault="002C3BB2" w:rsidP="000E657E">
      <w:pPr>
        <w:pBdr>
          <w:top w:val="single" w:sz="4" w:space="1" w:color="auto"/>
          <w:left w:val="single" w:sz="4" w:space="4" w:color="auto"/>
          <w:bottom w:val="single" w:sz="4" w:space="1" w:color="auto"/>
          <w:right w:val="single" w:sz="4" w:space="4" w:color="auto"/>
        </w:pBdr>
      </w:pPr>
      <w:hyperlink r:id="rId10" w:history="1">
        <w:r w:rsidR="00B82BF7">
          <w:rPr>
            <w:rStyle w:val="Lienhypertexte"/>
          </w:rPr>
          <w:t>Loi n°2011-412 du 14 avril 2011</w:t>
        </w:r>
      </w:hyperlink>
      <w:r w:rsidR="00B82BF7">
        <w:t xml:space="preserve"> portant simplification de dispositions du Code électoral et relative à la transparence financière de la vie politique (JO du 19 avril 2011, p. 6831).</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 </w:t>
      </w:r>
      <w:hyperlink r:id="rId11" w:history="1">
        <w:r>
          <w:rPr>
            <w:rStyle w:val="Lienhypertexte"/>
          </w:rPr>
          <w:t>site web de la Commission nationale des comptes de campagne et des financements politiques</w:t>
        </w:r>
      </w:hyperlink>
      <w:r>
        <w:t xml:space="preserve"> (CNCCFP) </w:t>
      </w:r>
      <w:hyperlink r:id="rId12" w:history="1">
        <w:r w:rsidRPr="00447016">
          <w:rPr>
            <w:rStyle w:val="Lienhypertexte"/>
          </w:rPr>
          <w:t>http://www.cnccfp.fr/</w:t>
        </w:r>
      </w:hyperlink>
      <w:r>
        <w:t xml:space="preserve"> </w:t>
      </w:r>
    </w:p>
    <w:p w:rsidR="00B90C01" w:rsidRDefault="00B90C01" w:rsidP="00B90C01"/>
    <w:p w:rsidR="0021766F" w:rsidRDefault="0053282D">
      <w:pPr>
        <w:pStyle w:val="TM1"/>
        <w:tabs>
          <w:tab w:val="right" w:leader="dot" w:pos="10196"/>
        </w:tabs>
        <w:rPr>
          <w:rFonts w:asciiTheme="minorHAnsi" w:eastAsiaTheme="minorEastAsia" w:hAnsiTheme="minorHAnsi" w:cstheme="minorBidi"/>
          <w:noProof/>
          <w:sz w:val="22"/>
          <w:szCs w:val="22"/>
          <w:lang w:eastAsia="fr-FR"/>
        </w:rPr>
      </w:pPr>
      <w:r w:rsidRPr="000E657E">
        <w:rPr>
          <w:b/>
        </w:rPr>
        <w:fldChar w:fldCharType="begin"/>
      </w:r>
      <w:r w:rsidRPr="000E657E">
        <w:rPr>
          <w:b/>
        </w:rPr>
        <w:instrText xml:space="preserve"> TOC \o "1-1" \h \z \u </w:instrText>
      </w:r>
      <w:r w:rsidRPr="000E657E">
        <w:rPr>
          <w:b/>
        </w:rPr>
        <w:fldChar w:fldCharType="separate"/>
      </w:r>
      <w:hyperlink w:anchor="_Toc33528185" w:history="1">
        <w:r w:rsidR="0021766F" w:rsidRPr="00F5149A">
          <w:rPr>
            <w:rStyle w:val="Lienhypertexte"/>
            <w:noProof/>
          </w:rPr>
          <w:t>Actualités</w:t>
        </w:r>
        <w:r w:rsidR="0021766F">
          <w:rPr>
            <w:noProof/>
            <w:webHidden/>
          </w:rPr>
          <w:tab/>
        </w:r>
        <w:r w:rsidR="0021766F">
          <w:rPr>
            <w:noProof/>
            <w:webHidden/>
          </w:rPr>
          <w:fldChar w:fldCharType="begin"/>
        </w:r>
        <w:r w:rsidR="0021766F">
          <w:rPr>
            <w:noProof/>
            <w:webHidden/>
          </w:rPr>
          <w:instrText xml:space="preserve"> PAGEREF _Toc33528185 \h </w:instrText>
        </w:r>
        <w:r w:rsidR="0021766F">
          <w:rPr>
            <w:noProof/>
            <w:webHidden/>
          </w:rPr>
        </w:r>
        <w:r w:rsidR="0021766F">
          <w:rPr>
            <w:noProof/>
            <w:webHidden/>
          </w:rPr>
          <w:fldChar w:fldCharType="separate"/>
        </w:r>
        <w:r w:rsidR="0021766F">
          <w:rPr>
            <w:noProof/>
            <w:webHidden/>
          </w:rPr>
          <w:t>2</w:t>
        </w:r>
        <w:r w:rsidR="0021766F">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186" w:history="1">
        <w:r w:rsidRPr="00F5149A">
          <w:rPr>
            <w:rStyle w:val="Lienhypertexte"/>
            <w:noProof/>
          </w:rPr>
          <w:t>CSA</w:t>
        </w:r>
        <w:r>
          <w:rPr>
            <w:noProof/>
            <w:webHidden/>
          </w:rPr>
          <w:tab/>
        </w:r>
        <w:r>
          <w:rPr>
            <w:noProof/>
            <w:webHidden/>
          </w:rPr>
          <w:fldChar w:fldCharType="begin"/>
        </w:r>
        <w:r>
          <w:rPr>
            <w:noProof/>
            <w:webHidden/>
          </w:rPr>
          <w:instrText xml:space="preserve"> PAGEREF _Toc33528186 \h </w:instrText>
        </w:r>
        <w:r>
          <w:rPr>
            <w:noProof/>
            <w:webHidden/>
          </w:rPr>
        </w:r>
        <w:r>
          <w:rPr>
            <w:noProof/>
            <w:webHidden/>
          </w:rPr>
          <w:fldChar w:fldCharType="separate"/>
        </w:r>
        <w:r>
          <w:rPr>
            <w:noProof/>
            <w:webHidden/>
          </w:rPr>
          <w:t>2</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187" w:history="1">
        <w:r w:rsidRPr="00F5149A">
          <w:rPr>
            <w:rStyle w:val="Lienhypertexte"/>
            <w:noProof/>
          </w:rPr>
          <w:t>Fiche Ministère de l'intérieur</w:t>
        </w:r>
        <w:r>
          <w:rPr>
            <w:noProof/>
            <w:webHidden/>
          </w:rPr>
          <w:tab/>
        </w:r>
        <w:r>
          <w:rPr>
            <w:noProof/>
            <w:webHidden/>
          </w:rPr>
          <w:fldChar w:fldCharType="begin"/>
        </w:r>
        <w:r>
          <w:rPr>
            <w:noProof/>
            <w:webHidden/>
          </w:rPr>
          <w:instrText xml:space="preserve"> PAGEREF _Toc33528187 \h </w:instrText>
        </w:r>
        <w:r>
          <w:rPr>
            <w:noProof/>
            <w:webHidden/>
          </w:rPr>
        </w:r>
        <w:r>
          <w:rPr>
            <w:noProof/>
            <w:webHidden/>
          </w:rPr>
          <w:fldChar w:fldCharType="separate"/>
        </w:r>
        <w:r>
          <w:rPr>
            <w:noProof/>
            <w:webHidden/>
          </w:rPr>
          <w:t>3</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188" w:history="1">
        <w:r w:rsidRPr="00F5149A">
          <w:rPr>
            <w:rStyle w:val="Lienhypertexte"/>
            <w:noProof/>
          </w:rPr>
          <w:t>La campagne électorale</w:t>
        </w:r>
        <w:r>
          <w:rPr>
            <w:noProof/>
            <w:webHidden/>
          </w:rPr>
          <w:tab/>
        </w:r>
        <w:r>
          <w:rPr>
            <w:noProof/>
            <w:webHidden/>
          </w:rPr>
          <w:fldChar w:fldCharType="begin"/>
        </w:r>
        <w:r>
          <w:rPr>
            <w:noProof/>
            <w:webHidden/>
          </w:rPr>
          <w:instrText xml:space="preserve"> PAGEREF _Toc33528188 \h </w:instrText>
        </w:r>
        <w:r>
          <w:rPr>
            <w:noProof/>
            <w:webHidden/>
          </w:rPr>
        </w:r>
        <w:r>
          <w:rPr>
            <w:noProof/>
            <w:webHidden/>
          </w:rPr>
          <w:fldChar w:fldCharType="separate"/>
        </w:r>
        <w:r>
          <w:rPr>
            <w:noProof/>
            <w:webHidden/>
          </w:rPr>
          <w:t>4</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189" w:history="1">
        <w:r w:rsidRPr="00F5149A">
          <w:rPr>
            <w:rStyle w:val="Lienhypertexte"/>
            <w:noProof/>
          </w:rPr>
          <w:t>Articles du Code électoral traitant de "Propagande"</w:t>
        </w:r>
        <w:r>
          <w:rPr>
            <w:noProof/>
            <w:webHidden/>
          </w:rPr>
          <w:tab/>
        </w:r>
        <w:r>
          <w:rPr>
            <w:noProof/>
            <w:webHidden/>
          </w:rPr>
          <w:fldChar w:fldCharType="begin"/>
        </w:r>
        <w:r>
          <w:rPr>
            <w:noProof/>
            <w:webHidden/>
          </w:rPr>
          <w:instrText xml:space="preserve"> PAGEREF _Toc33528189 \h </w:instrText>
        </w:r>
        <w:r>
          <w:rPr>
            <w:noProof/>
            <w:webHidden/>
          </w:rPr>
        </w:r>
        <w:r>
          <w:rPr>
            <w:noProof/>
            <w:webHidden/>
          </w:rPr>
          <w:fldChar w:fldCharType="separate"/>
        </w:r>
        <w:r>
          <w:rPr>
            <w:noProof/>
            <w:webHidden/>
          </w:rPr>
          <w:t>9</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210" w:history="1">
        <w:r w:rsidRPr="00F5149A">
          <w:rPr>
            <w:rStyle w:val="Lienhypertexte"/>
            <w:noProof/>
          </w:rPr>
          <w:t>Municipales 2020 : quel</w:t>
        </w:r>
        <w:bookmarkStart w:id="0" w:name="_GoBack"/>
        <w:bookmarkEnd w:id="0"/>
        <w:r w:rsidRPr="00F5149A">
          <w:rPr>
            <w:rStyle w:val="Lienhypertexte"/>
            <w:noProof/>
          </w:rPr>
          <w:t>le communication en période pré-électorale ?</w:t>
        </w:r>
        <w:r>
          <w:rPr>
            <w:noProof/>
            <w:webHidden/>
          </w:rPr>
          <w:tab/>
        </w:r>
        <w:r>
          <w:rPr>
            <w:noProof/>
            <w:webHidden/>
          </w:rPr>
          <w:fldChar w:fldCharType="begin"/>
        </w:r>
        <w:r>
          <w:rPr>
            <w:noProof/>
            <w:webHidden/>
          </w:rPr>
          <w:instrText xml:space="preserve"> PAGEREF _Toc33528210 \h </w:instrText>
        </w:r>
        <w:r>
          <w:rPr>
            <w:noProof/>
            <w:webHidden/>
          </w:rPr>
        </w:r>
        <w:r>
          <w:rPr>
            <w:noProof/>
            <w:webHidden/>
          </w:rPr>
          <w:fldChar w:fldCharType="separate"/>
        </w:r>
        <w:r>
          <w:rPr>
            <w:noProof/>
            <w:webHidden/>
          </w:rPr>
          <w:t>25</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211" w:history="1">
        <w:r w:rsidRPr="00F5149A">
          <w:rPr>
            <w:rStyle w:val="Lienhypertexte"/>
            <w:noProof/>
          </w:rPr>
          <w:t>Municipales 2020 : la recommandation du CSA sur les temps de parole des candidats</w:t>
        </w:r>
        <w:r>
          <w:rPr>
            <w:noProof/>
            <w:webHidden/>
          </w:rPr>
          <w:tab/>
        </w:r>
        <w:r>
          <w:rPr>
            <w:noProof/>
            <w:webHidden/>
          </w:rPr>
          <w:fldChar w:fldCharType="begin"/>
        </w:r>
        <w:r>
          <w:rPr>
            <w:noProof/>
            <w:webHidden/>
          </w:rPr>
          <w:instrText xml:space="preserve"> PAGEREF _Toc33528211 \h </w:instrText>
        </w:r>
        <w:r>
          <w:rPr>
            <w:noProof/>
            <w:webHidden/>
          </w:rPr>
        </w:r>
        <w:r>
          <w:rPr>
            <w:noProof/>
            <w:webHidden/>
          </w:rPr>
          <w:fldChar w:fldCharType="separate"/>
        </w:r>
        <w:r>
          <w:rPr>
            <w:noProof/>
            <w:webHidden/>
          </w:rPr>
          <w:t>28</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212" w:history="1">
        <w:r w:rsidRPr="00F5149A">
          <w:rPr>
            <w:rStyle w:val="Lienhypertexte"/>
            <w:noProof/>
          </w:rPr>
          <w:t>Municipales 2014 -La communication institutionnelle en période préélectorale -Analyse  Par Jean-Louis Vasseur, avocat associé, SCP Seban &amp; associés</w:t>
        </w:r>
        <w:r>
          <w:rPr>
            <w:noProof/>
            <w:webHidden/>
          </w:rPr>
          <w:tab/>
        </w:r>
        <w:r>
          <w:rPr>
            <w:noProof/>
            <w:webHidden/>
          </w:rPr>
          <w:fldChar w:fldCharType="begin"/>
        </w:r>
        <w:r>
          <w:rPr>
            <w:noProof/>
            <w:webHidden/>
          </w:rPr>
          <w:instrText xml:space="preserve"> PAGEREF _Toc33528212 \h </w:instrText>
        </w:r>
        <w:r>
          <w:rPr>
            <w:noProof/>
            <w:webHidden/>
          </w:rPr>
        </w:r>
        <w:r>
          <w:rPr>
            <w:noProof/>
            <w:webHidden/>
          </w:rPr>
          <w:fldChar w:fldCharType="separate"/>
        </w:r>
        <w:r>
          <w:rPr>
            <w:noProof/>
            <w:webHidden/>
          </w:rPr>
          <w:t>32</w:t>
        </w:r>
        <w:r>
          <w:rPr>
            <w:noProof/>
            <w:webHidden/>
          </w:rPr>
          <w:fldChar w:fldCharType="end"/>
        </w:r>
      </w:hyperlink>
    </w:p>
    <w:p w:rsidR="0021766F" w:rsidRDefault="0021766F">
      <w:pPr>
        <w:pStyle w:val="TM1"/>
        <w:tabs>
          <w:tab w:val="right" w:leader="dot" w:pos="10196"/>
        </w:tabs>
        <w:rPr>
          <w:rFonts w:asciiTheme="minorHAnsi" w:eastAsiaTheme="minorEastAsia" w:hAnsiTheme="minorHAnsi" w:cstheme="minorBidi"/>
          <w:noProof/>
          <w:sz w:val="22"/>
          <w:szCs w:val="22"/>
          <w:lang w:eastAsia="fr-FR"/>
        </w:rPr>
      </w:pPr>
      <w:hyperlink w:anchor="_Toc33528213" w:history="1">
        <w:r w:rsidRPr="00F5149A">
          <w:rPr>
            <w:rStyle w:val="Lienhypertexte"/>
            <w:noProof/>
            <w:lang w:eastAsia="fr-FR"/>
          </w:rPr>
          <w:t>Communication en période électorale : rappel des règles de référence  Rolande PLACIDI, Avocat au Barreau de Strasbourg.</w:t>
        </w:r>
        <w:r>
          <w:rPr>
            <w:noProof/>
            <w:webHidden/>
          </w:rPr>
          <w:tab/>
        </w:r>
        <w:r>
          <w:rPr>
            <w:noProof/>
            <w:webHidden/>
          </w:rPr>
          <w:fldChar w:fldCharType="begin"/>
        </w:r>
        <w:r>
          <w:rPr>
            <w:noProof/>
            <w:webHidden/>
          </w:rPr>
          <w:instrText xml:space="preserve"> PAGEREF _Toc33528213 \h </w:instrText>
        </w:r>
        <w:r>
          <w:rPr>
            <w:noProof/>
            <w:webHidden/>
          </w:rPr>
        </w:r>
        <w:r>
          <w:rPr>
            <w:noProof/>
            <w:webHidden/>
          </w:rPr>
          <w:fldChar w:fldCharType="separate"/>
        </w:r>
        <w:r>
          <w:rPr>
            <w:noProof/>
            <w:webHidden/>
          </w:rPr>
          <w:t>36</w:t>
        </w:r>
        <w:r>
          <w:rPr>
            <w:noProof/>
            <w:webHidden/>
          </w:rPr>
          <w:fldChar w:fldCharType="end"/>
        </w:r>
      </w:hyperlink>
    </w:p>
    <w:p w:rsidR="0053282D" w:rsidRDefault="0053282D">
      <w:pPr>
        <w:rPr>
          <w:rFonts w:asciiTheme="majorHAnsi" w:eastAsiaTheme="majorEastAsia" w:hAnsiTheme="majorHAnsi" w:cstheme="majorBidi"/>
          <w:b/>
          <w:bCs/>
          <w:color w:val="365F91" w:themeColor="accent1" w:themeShade="BF"/>
          <w:sz w:val="28"/>
          <w:szCs w:val="28"/>
        </w:rPr>
      </w:pPr>
      <w:r w:rsidRPr="000E657E">
        <w:rPr>
          <w:b/>
        </w:rPr>
        <w:fldChar w:fldCharType="end"/>
      </w:r>
      <w:r>
        <w:br w:type="page"/>
      </w:r>
    </w:p>
    <w:p w:rsidR="002C3BB2" w:rsidRDefault="002C3BB2" w:rsidP="002C3BB2">
      <w:pPr>
        <w:pStyle w:val="Titre1"/>
      </w:pPr>
      <w:bookmarkStart w:id="1" w:name="_Toc33528185"/>
      <w:r>
        <w:lastRenderedPageBreak/>
        <w:t>Actualités</w:t>
      </w:r>
      <w:bookmarkEnd w:id="1"/>
    </w:p>
    <w:p w:rsidR="002C3BB2" w:rsidRPr="002C3BB2" w:rsidRDefault="002C3BB2" w:rsidP="002C3BB2">
      <w:r w:rsidRPr="002C3BB2">
        <w:t>De la clarification à l’innovation en droit électoral (</w:t>
      </w:r>
      <w:proofErr w:type="spellStart"/>
      <w:r w:rsidRPr="002C3BB2">
        <w:t>crowdfunding</w:t>
      </w:r>
      <w:proofErr w:type="spellEnd"/>
      <w:r w:rsidRPr="002C3BB2">
        <w:t xml:space="preserve"> et stabilité de la législation électorale) : retour sur les lois du 2 décembre 2019 [R. Rambaud]</w:t>
      </w:r>
    </w:p>
    <w:p w:rsidR="002C3BB2" w:rsidRDefault="002C3BB2" w:rsidP="002C3BB2">
      <w:hyperlink r:id="rId13" w:history="1">
        <w:r w:rsidRPr="00096658">
          <w:rPr>
            <w:rStyle w:val="Lienhypertexte"/>
          </w:rPr>
          <w:t>https://blogdudroitelectoral.fr/2020/01/de-la-clarification-a-linnovation-en-droit-electoral-retour-sur-les-lois-du-2-decembre-2019-r-rambaud-avec-renvoi-a-b-vincens-bouguereau/</w:t>
        </w:r>
      </w:hyperlink>
      <w:r>
        <w:t xml:space="preserve"> </w:t>
      </w:r>
    </w:p>
    <w:p w:rsidR="0021766F" w:rsidRDefault="0021766F" w:rsidP="002C3BB2"/>
    <w:p w:rsidR="0021766F" w:rsidRDefault="0021766F" w:rsidP="002C3BB2">
      <w:r w:rsidRPr="0021766F">
        <w:t>La bonne résolution de l’année 2020 du droit électoral : en finir avec les applications absurdes de l’interdiction de la combinaison « bleu, blanc, rouge » (nouvel article R. 27) [R. Rambaud]</w:t>
      </w:r>
    </w:p>
    <w:p w:rsidR="0021766F" w:rsidRPr="002C3BB2" w:rsidRDefault="0021766F" w:rsidP="002C3BB2">
      <w:hyperlink r:id="rId14" w:history="1">
        <w:r w:rsidRPr="00096658">
          <w:rPr>
            <w:rStyle w:val="Lienhypertexte"/>
          </w:rPr>
          <w:t>https://blogdudroitelectoral.fr/2020/01/la-bonne-resolution-de-lannee-2020-du-droit-electoral-francais-la-fin-des-applications-absurdes-de-linterdiction-de-la-combinaison-bleu-blanc-rouge-nouvel-article-r-27-r-rambaud/</w:t>
        </w:r>
      </w:hyperlink>
      <w:r>
        <w:t xml:space="preserve"> </w:t>
      </w:r>
    </w:p>
    <w:p w:rsidR="002C3BB2" w:rsidRDefault="002C3BB2" w:rsidP="002C3BB2">
      <w:pPr>
        <w:pStyle w:val="Titre1"/>
      </w:pPr>
      <w:bookmarkStart w:id="2" w:name="_Toc33528186"/>
      <w:r>
        <w:t>CSA</w:t>
      </w:r>
      <w:bookmarkEnd w:id="2"/>
    </w:p>
    <w:p w:rsidR="0010420B" w:rsidRDefault="0010420B" w:rsidP="0010420B">
      <w:pPr>
        <w:pStyle w:val="NormalWeb"/>
        <w:spacing w:after="0" w:afterAutospacing="0"/>
        <w:rPr>
          <w:b/>
        </w:rPr>
      </w:pPr>
      <w:r>
        <w:rPr>
          <w:b/>
        </w:rPr>
        <w:t xml:space="preserve">Site du CSA : </w:t>
      </w:r>
      <w:hyperlink r:id="rId15" w:history="1">
        <w:r w:rsidR="00A53BE3" w:rsidRPr="00A626C6">
          <w:rPr>
            <w:rStyle w:val="Lienhypertexte"/>
            <w:b/>
          </w:rPr>
          <w:t>https://www.csa.fr/Proteger/Garantie-des-droits-et-libertes/Proteger-le-pluralisme-politique/Pendant-</w:t>
        </w:r>
        <w:r w:rsidR="00A53BE3" w:rsidRPr="00A626C6">
          <w:rPr>
            <w:rStyle w:val="Lienhypertexte"/>
            <w:b/>
          </w:rPr>
          <w:t>u</w:t>
        </w:r>
        <w:r w:rsidR="00A53BE3" w:rsidRPr="00A626C6">
          <w:rPr>
            <w:rStyle w:val="Lienhypertexte"/>
            <w:b/>
          </w:rPr>
          <w:t>ne-election</w:t>
        </w:r>
      </w:hyperlink>
      <w:r w:rsidR="00A53BE3">
        <w:rPr>
          <w:b/>
        </w:rPr>
        <w:t xml:space="preserve"> </w:t>
      </w:r>
    </w:p>
    <w:p w:rsidR="00A53BE3" w:rsidRDefault="00A53BE3" w:rsidP="00A53BE3">
      <w:pPr>
        <w:pStyle w:val="Titre2"/>
      </w:pPr>
      <w:r>
        <w:t>Les règles encadrant l’accès des candidats ou des partis à l’antenne</w:t>
      </w:r>
    </w:p>
    <w:p w:rsidR="00A53BE3" w:rsidRDefault="00A53BE3" w:rsidP="00A53BE3">
      <w:pPr>
        <w:pStyle w:val="Titre3"/>
      </w:pPr>
      <w:bookmarkStart w:id="3" w:name="eztoc_1_2_1"/>
      <w:bookmarkEnd w:id="3"/>
      <w:r>
        <w:t>Le principe d’équité</w:t>
      </w:r>
    </w:p>
    <w:p w:rsidR="00A53BE3" w:rsidRDefault="00A53BE3" w:rsidP="00A53BE3">
      <w:pPr>
        <w:pStyle w:val="NormalWeb"/>
      </w:pPr>
      <w:r>
        <w:t>Le principe d’équité implique que les services de télévision allouent aux candidats (ou aux partis politiques) et à leurs soutiens des temps de parole ou d’antenne en tenant compte de leur représentativité et de leur implication effective dans la campagne. </w:t>
      </w:r>
    </w:p>
    <w:p w:rsidR="00A53BE3" w:rsidRDefault="00A53BE3" w:rsidP="00A53BE3">
      <w:pPr>
        <w:pStyle w:val="NormalWeb"/>
      </w:pPr>
      <w:r>
        <w:t>L’appréciation de la notion d’équité se fonde sur :</w:t>
      </w:r>
    </w:p>
    <w:p w:rsidR="00A53BE3" w:rsidRDefault="00A53BE3" w:rsidP="00396A56">
      <w:pPr>
        <w:numPr>
          <w:ilvl w:val="0"/>
          <w:numId w:val="16"/>
        </w:numPr>
        <w:spacing w:before="100" w:beforeAutospacing="1" w:after="100" w:afterAutospacing="1"/>
      </w:pPr>
      <w:r>
        <w:t>La représentativité des candidats, en particulier, les résultats du candidat ou de la formation politique aux plus récentes élections ;</w:t>
      </w:r>
    </w:p>
    <w:p w:rsidR="00A53BE3" w:rsidRDefault="00A53BE3" w:rsidP="00396A56">
      <w:pPr>
        <w:numPr>
          <w:ilvl w:val="0"/>
          <w:numId w:val="16"/>
        </w:numPr>
        <w:spacing w:before="100" w:beforeAutospacing="1" w:after="100" w:afterAutospacing="1"/>
      </w:pPr>
      <w:r>
        <w:t>La capacité à manifester concrètement son implication dans la campagne : organisation de réunions publiques, participation à des débats, désignation d’un mandataire financier, et plus généralement toute initiative permettant de porter à la connaissance du public les éléments de son programme.</w:t>
      </w:r>
    </w:p>
    <w:p w:rsidR="00A53BE3" w:rsidRDefault="00A53BE3" w:rsidP="00A53BE3">
      <w:pPr>
        <w:pStyle w:val="Titre3"/>
      </w:pPr>
      <w:bookmarkStart w:id="4" w:name="eztoc_1_3_1"/>
      <w:bookmarkEnd w:id="4"/>
      <w:r>
        <w:t>Le principe d’égalité</w:t>
      </w:r>
    </w:p>
    <w:p w:rsidR="00A53BE3" w:rsidRDefault="00A53BE3" w:rsidP="00A53BE3">
      <w:pPr>
        <w:pStyle w:val="NormalWeb"/>
      </w:pPr>
      <w:r>
        <w:t>Le principe d’égalité constitue une spécificité de la campagne présidentielle. Il résulte directement des textes législatifs et réglementaires relatifs à l’élection du Président de la République qui prévoient une égalité entre les candidats à compter du début de la campagne officielle. </w:t>
      </w:r>
    </w:p>
    <w:p w:rsidR="00A53BE3" w:rsidRDefault="00A53BE3" w:rsidP="00A53BE3">
      <w:pPr>
        <w:pStyle w:val="NormalWeb"/>
      </w:pPr>
      <w:r>
        <w:t>Le principe d’égalité implique que les temps de parole et d’antenne des candidats et de leurs soutiens soient égaux (</w:t>
      </w:r>
      <w:proofErr w:type="spellStart"/>
      <w:r>
        <w:t>cf</w:t>
      </w:r>
      <w:proofErr w:type="spellEnd"/>
      <w:r>
        <w:t xml:space="preserve"> : </w:t>
      </w:r>
      <w:hyperlink r:id="rId16" w:tgtFrame="_blank" w:history="1">
        <w:r>
          <w:rPr>
            <w:rStyle w:val="lev"/>
          </w:rPr>
          <w:t>Décret n° 2001-213 du 8 mars 2001, art.15</w:t>
        </w:r>
      </w:hyperlink>
      <w:r>
        <w:t>).</w:t>
      </w:r>
    </w:p>
    <w:p w:rsidR="00A53BE3" w:rsidRDefault="00A53BE3" w:rsidP="00A53BE3">
      <w:pPr>
        <w:pStyle w:val="Titre3"/>
      </w:pPr>
      <w:bookmarkStart w:id="5" w:name="eztoc_1_4_1"/>
      <w:bookmarkEnd w:id="5"/>
      <w:r>
        <w:t>Les règles concernant les journalistes et chroniqueurs</w:t>
      </w:r>
    </w:p>
    <w:p w:rsidR="00A53BE3" w:rsidRDefault="00A53BE3" w:rsidP="00A53BE3">
      <w:pPr>
        <w:pStyle w:val="NormalWeb"/>
      </w:pPr>
      <w:r>
        <w:t>Jusqu’à la date d’ouverture de la campagne officielle, les journalistes ou chroniqueurs qui sont candidats peuvent intervenir sur les antennes à condition que leurs propos ne puissent pas avoir d’incidence de nature à porter atteinte à l’égalité des candidats. </w:t>
      </w:r>
    </w:p>
    <w:p w:rsidR="00A53BE3" w:rsidRDefault="00A53BE3" w:rsidP="00A53BE3">
      <w:pPr>
        <w:pStyle w:val="NormalWeb"/>
      </w:pPr>
      <w:r>
        <w:t>Ils doivent s’abstenir de paraître sur les antennes dans l’exercice de leur fonction à compter de l’ouverture de la campagne officielle et jusqu’à la clôture du scrutin.</w:t>
      </w:r>
    </w:p>
    <w:p w:rsidR="00A53BE3" w:rsidRDefault="00A53BE3" w:rsidP="00A53BE3">
      <w:pPr>
        <w:pStyle w:val="Titre3"/>
      </w:pPr>
      <w:bookmarkStart w:id="6" w:name="eztoc_1_5_1"/>
      <w:bookmarkEnd w:id="6"/>
      <w:r>
        <w:lastRenderedPageBreak/>
        <w:t>Les règles éditoriales de traitement de la campagne</w:t>
      </w:r>
    </w:p>
    <w:p w:rsidR="00A53BE3" w:rsidRDefault="00A53BE3" w:rsidP="00A53BE3">
      <w:pPr>
        <w:pStyle w:val="NormalWeb"/>
      </w:pPr>
      <w:r>
        <w:t>Le traitement éditorial doit s’appuyer sur la mesure et respecter l’honnêteté en ce qui concerne le traitement et l’utilisation d’extraits de déclaration des candidats.</w:t>
      </w:r>
    </w:p>
    <w:p w:rsidR="00A53BE3" w:rsidRDefault="00A53BE3" w:rsidP="00A53BE3">
      <w:pPr>
        <w:pStyle w:val="Titre3"/>
      </w:pPr>
      <w:bookmarkStart w:id="7" w:name="eztoc_1_6_1"/>
      <w:bookmarkEnd w:id="7"/>
      <w:r>
        <w:t>Les autres dispositions</w:t>
      </w:r>
    </w:p>
    <w:p w:rsidR="00A53BE3" w:rsidRDefault="00A53BE3" w:rsidP="00A53BE3">
      <w:pPr>
        <w:pStyle w:val="NormalWeb"/>
      </w:pPr>
      <w:r>
        <w:t>D’autres dispositions s’appliquent en période électorale :</w:t>
      </w:r>
    </w:p>
    <w:p w:rsidR="00A53BE3" w:rsidRDefault="00A53BE3" w:rsidP="00396A56">
      <w:pPr>
        <w:numPr>
          <w:ilvl w:val="0"/>
          <w:numId w:val="17"/>
        </w:numPr>
        <w:spacing w:before="100" w:beforeAutospacing="1" w:after="100" w:afterAutospacing="1"/>
      </w:pPr>
      <w:r>
        <w:t>L’accès des personnes sourdes ou malentendantes aux émissions : les principales chaînes nationales hertziennes doivent veiller à favoriser l’accès (par sous-titrage ou langue des signes) des personnes sourdes ou malentendantes aux principaux programmes consacrés à l’actualité électorale et diffusés aux heures de forte audience. Les télévisions dont l’audience moyenne annuelle dépasse 2,5 % de l’audience totale doivent assurer cet accès à l’ensemble des programmes consacrés à l’actualité électorale.</w:t>
      </w:r>
    </w:p>
    <w:p w:rsidR="00A53BE3" w:rsidRDefault="00A53BE3" w:rsidP="00396A56">
      <w:pPr>
        <w:numPr>
          <w:ilvl w:val="0"/>
          <w:numId w:val="17"/>
        </w:numPr>
        <w:spacing w:before="100" w:beforeAutospacing="1" w:after="100" w:afterAutospacing="1"/>
      </w:pPr>
      <w:r>
        <w:t>Les dispositions applicables à la veille et au jour du scrutin : la diffusion de propos à caractère électoral et d’éléments de sondage ou de résultats du scrutin sont interdits la veille et le jour du scrutin jusqu’à la clôture du vote. Ces dispositions résultent du code électoral (voir les articles </w:t>
      </w:r>
      <w:hyperlink r:id="rId17" w:tgtFrame="_blank" w:history="1">
        <w:r>
          <w:rPr>
            <w:rStyle w:val="lev"/>
          </w:rPr>
          <w:t>L52-1</w:t>
        </w:r>
      </w:hyperlink>
      <w:r>
        <w:t> et </w:t>
      </w:r>
      <w:hyperlink r:id="rId18" w:tgtFrame="_blank" w:history="1">
        <w:r>
          <w:rPr>
            <w:rStyle w:val="lev"/>
          </w:rPr>
          <w:t>L52-2</w:t>
        </w:r>
      </w:hyperlink>
      <w:r>
        <w:t> du code électoral).</w:t>
      </w:r>
    </w:p>
    <w:p w:rsidR="0010420B" w:rsidRPr="00B8382D" w:rsidRDefault="0010420B" w:rsidP="0010420B">
      <w:pPr>
        <w:pStyle w:val="NormalWeb"/>
        <w:rPr>
          <w:sz w:val="32"/>
        </w:rPr>
      </w:pPr>
      <w:r>
        <w:t xml:space="preserve">Site de la </w:t>
      </w:r>
      <w:r w:rsidRPr="00B8382D">
        <w:t xml:space="preserve">CNIL </w:t>
      </w:r>
      <w:r>
        <w:t xml:space="preserve"> </w:t>
      </w:r>
      <w:hyperlink r:id="rId19" w:history="1">
        <w:r w:rsidRPr="006C0750">
          <w:rPr>
            <w:rStyle w:val="Lienhypertexte"/>
          </w:rPr>
          <w:t>https://www.cnil.fr/fr/tag/elections</w:t>
        </w:r>
      </w:hyperlink>
      <w:r>
        <w:t xml:space="preserve"> </w:t>
      </w:r>
    </w:p>
    <w:p w:rsidR="0010420B" w:rsidRDefault="0010420B" w:rsidP="0010420B">
      <w:pPr>
        <w:pStyle w:val="Titre1"/>
      </w:pPr>
      <w:bookmarkStart w:id="8" w:name="_Toc462401489"/>
      <w:bookmarkStart w:id="9" w:name="_Toc33528187"/>
      <w:r>
        <w:t>Fiche Ministère de l'intérieur</w:t>
      </w:r>
      <w:bookmarkEnd w:id="8"/>
      <w:bookmarkEnd w:id="9"/>
    </w:p>
    <w:p w:rsidR="002C3BB2" w:rsidRDefault="002C3BB2" w:rsidP="0010420B">
      <w:hyperlink r:id="rId20" w:history="1">
        <w:r w:rsidRPr="00096658">
          <w:rPr>
            <w:rStyle w:val="Lienhypertexte"/>
          </w:rPr>
          <w:t>https://www.interieur.gouv.fr/Elections/Elections-municipales-2020</w:t>
        </w:r>
      </w:hyperlink>
      <w:r>
        <w:t xml:space="preserve"> </w:t>
      </w:r>
    </w:p>
    <w:p w:rsidR="002C3BB2" w:rsidRDefault="002C3BB2" w:rsidP="002C3BB2">
      <w:pPr>
        <w:pStyle w:val="Titre2"/>
        <w:rPr>
          <w:sz w:val="48"/>
          <w:szCs w:val="48"/>
        </w:rPr>
      </w:pPr>
      <w:r>
        <w:t>Guides des élections municipales 2020</w:t>
      </w:r>
    </w:p>
    <w:p w:rsidR="002C3BB2" w:rsidRDefault="002C3BB2" w:rsidP="002C3BB2">
      <w:r>
        <w:t xml:space="preserve">9 janvier 2020 </w:t>
      </w:r>
    </w:p>
    <w:p w:rsidR="002C3BB2" w:rsidRDefault="002C3BB2" w:rsidP="0021766F">
      <w:pPr>
        <w:pStyle w:val="NormalWeb"/>
        <w:spacing w:before="0" w:beforeAutospacing="0"/>
      </w:pPr>
      <w:r>
        <w:t>Ces guides proposent un exposé des règles relatives aux élections municipales et communautaires des 15 et 22 mars 2020 dans les communes de moins de 1000 habitants et dans les communes de 1000 habitants et plus.</w:t>
      </w:r>
    </w:p>
    <w:p w:rsidR="002C3BB2" w:rsidRDefault="002C3BB2" w:rsidP="0021766F">
      <w:pPr>
        <w:pStyle w:val="NormalWeb"/>
        <w:spacing w:before="0" w:beforeAutospacing="0"/>
      </w:pPr>
      <w:r>
        <w:t>Ils s'adressent aux candidats et plus largement, à tous les acteurs parties prenantes aux élections municipales et communautaires.</w:t>
      </w:r>
    </w:p>
    <w:p w:rsidR="002C3BB2" w:rsidRDefault="002C3BB2" w:rsidP="0021766F">
      <w:pPr>
        <w:pStyle w:val="NormalWeb"/>
        <w:spacing w:before="0" w:beforeAutospacing="0"/>
      </w:pPr>
      <w:r>
        <w:t>Ils ont été mis à jour des évolutions législatives et réglementaires intervenus en décembre 2019.</w:t>
      </w:r>
    </w:p>
    <w:p w:rsidR="002C3BB2" w:rsidRDefault="002C3BB2" w:rsidP="0021766F">
      <w:pPr>
        <w:pStyle w:val="NormalWeb"/>
        <w:spacing w:before="0" w:beforeAutospacing="0"/>
      </w:pPr>
      <w:r>
        <w:t>Pour les personnes qui avaient téléchargé la version précédente de ces guides, mise en ligne le 3 décembre 2019, un addendum de 4 pages présente les changements intervenus.</w:t>
      </w:r>
    </w:p>
    <w:p w:rsidR="002C3BB2" w:rsidRDefault="002C3BB2" w:rsidP="0021766F">
      <w:pPr>
        <w:pStyle w:val="Titre5"/>
        <w:spacing w:before="0"/>
      </w:pPr>
      <w:hyperlink r:id="rId21" w:history="1">
        <w:r>
          <w:rPr>
            <w:rStyle w:val="lev"/>
            <w:b w:val="0"/>
            <w:bCs w:val="0"/>
            <w:color w:val="0000FF"/>
            <w:u w:val="single"/>
          </w:rPr>
          <w:t>GUIDE - Élections municipales et communautaires 2020 - Communes de 1000 habitants et plus - MAJ 09012020</w:t>
        </w:r>
        <w:r>
          <w:rPr>
            <w:rStyle w:val="Lienhypertexte"/>
          </w:rPr>
          <w:t xml:space="preserve"> </w:t>
        </w:r>
      </w:hyperlink>
    </w:p>
    <w:p w:rsidR="002C3BB2" w:rsidRDefault="002C3BB2" w:rsidP="0021766F">
      <w:r>
        <w:t xml:space="preserve">Télécharger : </w:t>
      </w:r>
      <w:hyperlink r:id="rId22" w:history="1">
        <w:r>
          <w:rPr>
            <w:rStyle w:val="Lienhypertexte"/>
          </w:rPr>
          <w:t xml:space="preserve">Format </w:t>
        </w:r>
        <w:proofErr w:type="spellStart"/>
        <w:r>
          <w:rPr>
            <w:rStyle w:val="Lienhypertexte"/>
          </w:rPr>
          <w:t>pdf</w:t>
        </w:r>
        <w:proofErr w:type="spellEnd"/>
        <w:r>
          <w:rPr>
            <w:rStyle w:val="Lienhypertexte"/>
          </w:rPr>
          <w:t xml:space="preserve"> </w:t>
        </w:r>
        <w:r>
          <w:rPr>
            <w:rStyle w:val="size"/>
            <w:color w:val="0000FF"/>
            <w:u w:val="single"/>
          </w:rPr>
          <w:t>[2,36 MB]</w:t>
        </w:r>
        <w:r>
          <w:rPr>
            <w:rStyle w:val="Lienhypertexte"/>
          </w:rPr>
          <w:t xml:space="preserve"> </w:t>
        </w:r>
      </w:hyperlink>
    </w:p>
    <w:p w:rsidR="002C3BB2" w:rsidRDefault="002C3BB2" w:rsidP="0021766F">
      <w:r>
        <w:pict>
          <v:rect id="_x0000_i1038" style="width:0;height:1.5pt" o:hralign="center" o:hrstd="t" o:hr="t" fillcolor="#a0a0a0" stroked="f"/>
        </w:pict>
      </w:r>
    </w:p>
    <w:p w:rsidR="002C3BB2" w:rsidRDefault="002C3BB2" w:rsidP="0021766F">
      <w:pPr>
        <w:pStyle w:val="Titre5"/>
        <w:spacing w:before="0"/>
      </w:pPr>
      <w:hyperlink r:id="rId23" w:history="1">
        <w:r>
          <w:rPr>
            <w:rStyle w:val="lev"/>
            <w:b w:val="0"/>
            <w:bCs w:val="0"/>
            <w:color w:val="0000FF"/>
            <w:u w:val="single"/>
          </w:rPr>
          <w:t>GUIDE - Élections municipales et communautaires 2020 - Communes de moins de 1000 habitants - MAJ 09012020</w:t>
        </w:r>
        <w:r>
          <w:rPr>
            <w:rStyle w:val="Lienhypertexte"/>
          </w:rPr>
          <w:t xml:space="preserve"> </w:t>
        </w:r>
      </w:hyperlink>
    </w:p>
    <w:p w:rsidR="002C3BB2" w:rsidRDefault="002C3BB2" w:rsidP="0021766F">
      <w:r>
        <w:t xml:space="preserve">Télécharger : </w:t>
      </w:r>
      <w:hyperlink r:id="rId24" w:history="1">
        <w:r>
          <w:rPr>
            <w:rStyle w:val="Lienhypertexte"/>
          </w:rPr>
          <w:t xml:space="preserve">Format </w:t>
        </w:r>
        <w:proofErr w:type="spellStart"/>
        <w:r>
          <w:rPr>
            <w:rStyle w:val="Lienhypertexte"/>
          </w:rPr>
          <w:t>pdf</w:t>
        </w:r>
        <w:proofErr w:type="spellEnd"/>
        <w:r>
          <w:rPr>
            <w:rStyle w:val="Lienhypertexte"/>
          </w:rPr>
          <w:t xml:space="preserve"> </w:t>
        </w:r>
        <w:r>
          <w:rPr>
            <w:rStyle w:val="size"/>
            <w:color w:val="0000FF"/>
            <w:u w:val="single"/>
          </w:rPr>
          <w:t>[1,00 MB]</w:t>
        </w:r>
        <w:r>
          <w:rPr>
            <w:rStyle w:val="Lienhypertexte"/>
          </w:rPr>
          <w:t xml:space="preserve"> </w:t>
        </w:r>
      </w:hyperlink>
    </w:p>
    <w:p w:rsidR="002C3BB2" w:rsidRDefault="002C3BB2" w:rsidP="0021766F">
      <w:r>
        <w:pict>
          <v:rect id="_x0000_i1040" style="width:0;height:1.5pt" o:hralign="center" o:hrstd="t" o:hr="t" fillcolor="#a0a0a0" stroked="f"/>
        </w:pict>
      </w:r>
    </w:p>
    <w:p w:rsidR="002C3BB2" w:rsidRDefault="002C3BB2" w:rsidP="0021766F">
      <w:pPr>
        <w:pStyle w:val="Titre5"/>
        <w:spacing w:before="0"/>
      </w:pPr>
      <w:hyperlink r:id="rId25" w:history="1">
        <w:r>
          <w:rPr>
            <w:rStyle w:val="lev"/>
            <w:b w:val="0"/>
            <w:bCs w:val="0"/>
            <w:color w:val="0000FF"/>
            <w:u w:val="single"/>
          </w:rPr>
          <w:t>ADDENDUM aux GUIDES - Élections municipales et communautaires 2020 - évolutions juridiques décembre 2019</w:t>
        </w:r>
        <w:r>
          <w:rPr>
            <w:rStyle w:val="Lienhypertexte"/>
          </w:rPr>
          <w:t xml:space="preserve"> </w:t>
        </w:r>
      </w:hyperlink>
    </w:p>
    <w:p w:rsidR="002C3BB2" w:rsidRDefault="002C3BB2" w:rsidP="0021766F">
      <w:r>
        <w:t xml:space="preserve">Télécharger : </w:t>
      </w:r>
      <w:hyperlink r:id="rId26" w:history="1">
        <w:r>
          <w:rPr>
            <w:rStyle w:val="Lienhypertexte"/>
          </w:rPr>
          <w:t xml:space="preserve">Format </w:t>
        </w:r>
        <w:proofErr w:type="spellStart"/>
        <w:r>
          <w:rPr>
            <w:rStyle w:val="Lienhypertexte"/>
          </w:rPr>
          <w:t>pdf</w:t>
        </w:r>
        <w:proofErr w:type="spellEnd"/>
        <w:r>
          <w:rPr>
            <w:rStyle w:val="Lienhypertexte"/>
          </w:rPr>
          <w:t xml:space="preserve"> </w:t>
        </w:r>
        <w:r>
          <w:rPr>
            <w:rStyle w:val="size"/>
            <w:color w:val="0000FF"/>
            <w:u w:val="single"/>
          </w:rPr>
          <w:t>[0,13 MB]</w:t>
        </w:r>
        <w:r>
          <w:rPr>
            <w:rStyle w:val="Lienhypertexte"/>
          </w:rPr>
          <w:t xml:space="preserve"> </w:t>
        </w:r>
      </w:hyperlink>
    </w:p>
    <w:p w:rsidR="00A53BE3" w:rsidRDefault="00A53BE3">
      <w:pPr>
        <w:rPr>
          <w:rFonts w:asciiTheme="majorHAnsi" w:eastAsiaTheme="majorEastAsia" w:hAnsiTheme="majorHAnsi" w:cstheme="majorBidi"/>
          <w:b/>
          <w:bCs/>
          <w:color w:val="365F91" w:themeColor="accent1" w:themeShade="BF"/>
          <w:sz w:val="28"/>
          <w:szCs w:val="28"/>
        </w:rPr>
      </w:pPr>
      <w:bookmarkStart w:id="10" w:name="_Toc462401490"/>
      <w:r>
        <w:br w:type="page"/>
      </w:r>
    </w:p>
    <w:p w:rsidR="0010420B" w:rsidRDefault="0010420B" w:rsidP="0010420B">
      <w:pPr>
        <w:pStyle w:val="Titre1"/>
      </w:pPr>
      <w:bookmarkStart w:id="11" w:name="_Toc33528188"/>
      <w:r>
        <w:lastRenderedPageBreak/>
        <w:t>La campagne électorale</w:t>
      </w:r>
      <w:bookmarkEnd w:id="10"/>
      <w:bookmarkEnd w:id="11"/>
    </w:p>
    <w:p w:rsidR="0010420B" w:rsidRDefault="0021766F" w:rsidP="0010420B">
      <w:r>
        <w:t>(</w:t>
      </w:r>
      <w:proofErr w:type="gramStart"/>
      <w:r>
        <w:t>fiche</w:t>
      </w:r>
      <w:proofErr w:type="gramEnd"/>
      <w:r>
        <w:t xml:space="preserve"> ministère de l’intérieur) </w:t>
      </w:r>
      <w:r w:rsidR="0010420B">
        <w:t xml:space="preserve">4 mars 2014 </w:t>
      </w:r>
    </w:p>
    <w:p w:rsidR="0010420B" w:rsidRPr="007D6CB7" w:rsidRDefault="0010420B" w:rsidP="0010420B">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10420B" w:rsidRPr="007D6CB7" w:rsidRDefault="0010420B" w:rsidP="0010420B">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10420B" w:rsidRPr="007D6CB7" w:rsidRDefault="002C3BB2" w:rsidP="0010420B">
      <w:pPr>
        <w:spacing w:before="90"/>
        <w:rPr>
          <w:sz w:val="22"/>
        </w:rPr>
      </w:pPr>
      <w:r>
        <w:rPr>
          <w:sz w:val="22"/>
        </w:rPr>
        <w:pict>
          <v:rect id="_x0000_i1025" style="width:0;height:1.5pt" o:hrstd="t" o:hr="t" fillcolor="gray" stroked="f"/>
        </w:pict>
      </w:r>
    </w:p>
    <w:p w:rsidR="0010420B" w:rsidRPr="007D6CB7" w:rsidRDefault="0010420B" w:rsidP="0010420B">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10420B" w:rsidRPr="007D6CB7" w:rsidRDefault="0010420B" w:rsidP="0010420B">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10420B" w:rsidRPr="007D6CB7" w:rsidRDefault="0010420B" w:rsidP="0010420B">
      <w:pPr>
        <w:pStyle w:val="Titre2"/>
        <w:spacing w:before="90"/>
        <w:rPr>
          <w:sz w:val="40"/>
        </w:rPr>
      </w:pPr>
      <w:bookmarkStart w:id="12" w:name="eztoc498504_0_1"/>
      <w:bookmarkStart w:id="13" w:name="_Toc462401491"/>
      <w:bookmarkEnd w:id="12"/>
      <w:r w:rsidRPr="007D6CB7">
        <w:rPr>
          <w:sz w:val="40"/>
        </w:rPr>
        <w:t>A - Les moyens de propagande</w:t>
      </w:r>
      <w:bookmarkEnd w:id="13"/>
    </w:p>
    <w:p w:rsidR="0010420B" w:rsidRPr="007D6CB7" w:rsidRDefault="0010420B" w:rsidP="0010420B">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10420B" w:rsidRPr="007D6CB7" w:rsidRDefault="0010420B" w:rsidP="0010420B">
      <w:pPr>
        <w:pStyle w:val="Titre3"/>
        <w:spacing w:before="90"/>
        <w:rPr>
          <w:sz w:val="28"/>
        </w:rPr>
      </w:pPr>
      <w:bookmarkStart w:id="14" w:name="eztoc498504_0_1_1"/>
      <w:bookmarkStart w:id="15" w:name="_Toc462401492"/>
      <w:bookmarkEnd w:id="14"/>
      <w:r w:rsidRPr="007D6CB7">
        <w:rPr>
          <w:sz w:val="28"/>
        </w:rPr>
        <w:t>1. Les moyens de propagande licites</w:t>
      </w:r>
      <w:bookmarkEnd w:id="15"/>
    </w:p>
    <w:p w:rsidR="0010420B" w:rsidRPr="007D6CB7" w:rsidRDefault="0010420B" w:rsidP="0010420B">
      <w:pPr>
        <w:pStyle w:val="Titre4"/>
        <w:spacing w:before="90" w:after="0"/>
        <w:jc w:val="left"/>
        <w:rPr>
          <w:sz w:val="32"/>
        </w:rPr>
      </w:pPr>
      <w:bookmarkStart w:id="16" w:name="eztoc498504_0_1_1_1"/>
      <w:bookmarkEnd w:id="16"/>
      <w:r w:rsidRPr="007D6CB7">
        <w:rPr>
          <w:sz w:val="32"/>
        </w:rPr>
        <w:t>Les réunions électorales</w:t>
      </w:r>
    </w:p>
    <w:p w:rsidR="0010420B" w:rsidRPr="007D6CB7" w:rsidRDefault="0010420B" w:rsidP="0010420B">
      <w:pPr>
        <w:pStyle w:val="NormalWeb"/>
        <w:spacing w:before="90" w:beforeAutospacing="0" w:after="0" w:afterAutospacing="0"/>
        <w:rPr>
          <w:sz w:val="22"/>
        </w:rPr>
      </w:pPr>
      <w:r w:rsidRPr="007D6CB7">
        <w:rPr>
          <w:sz w:val="22"/>
        </w:rPr>
        <w:t>Elles peuvent être tenues dans les conditions prévues par le loi du 30 juin 1881 sur la liberté de réunion et par la loi du 28 mars 1907 relatives aux réunions publiques.</w:t>
      </w:r>
    </w:p>
    <w:p w:rsidR="0010420B" w:rsidRPr="007D6CB7" w:rsidRDefault="0010420B" w:rsidP="0010420B">
      <w:pPr>
        <w:pStyle w:val="NormalWeb"/>
        <w:spacing w:before="90" w:beforeAutospacing="0" w:after="0" w:afterAutospacing="0"/>
        <w:rPr>
          <w:sz w:val="22"/>
        </w:rPr>
      </w:pPr>
      <w:r w:rsidRPr="007D6CB7">
        <w:rPr>
          <w:sz w:val="22"/>
        </w:rPr>
        <w:t>Les réunions publiques sont libres et peuvent donc avoir lieu sans autorisation préalable.</w:t>
      </w:r>
    </w:p>
    <w:p w:rsidR="0010420B" w:rsidRPr="007D6CB7" w:rsidRDefault="0010420B" w:rsidP="0010420B">
      <w:pPr>
        <w:pStyle w:val="Titre4"/>
        <w:spacing w:before="90" w:after="0"/>
        <w:jc w:val="left"/>
        <w:rPr>
          <w:sz w:val="32"/>
        </w:rPr>
      </w:pPr>
      <w:bookmarkStart w:id="17" w:name="eztoc498504_0_1_1_2"/>
      <w:bookmarkEnd w:id="17"/>
      <w:r w:rsidRPr="007D6CB7">
        <w:rPr>
          <w:sz w:val="32"/>
        </w:rPr>
        <w:t>L’affichage électoral</w:t>
      </w:r>
    </w:p>
    <w:p w:rsidR="0010420B" w:rsidRPr="007D6CB7" w:rsidRDefault="0010420B" w:rsidP="0010420B">
      <w:pPr>
        <w:pStyle w:val="NormalWeb"/>
        <w:spacing w:before="90" w:beforeAutospacing="0" w:after="0" w:afterAutospacing="0"/>
        <w:rPr>
          <w:sz w:val="22"/>
        </w:rPr>
      </w:pPr>
      <w:r w:rsidRPr="007D6CB7">
        <w:rPr>
          <w:sz w:val="22"/>
        </w:rPr>
        <w:t>- Les panneaux d’affichage</w:t>
      </w:r>
    </w:p>
    <w:p w:rsidR="0010420B" w:rsidRPr="007D6CB7" w:rsidRDefault="0010420B" w:rsidP="0010420B">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10420B" w:rsidRPr="007D6CB7" w:rsidRDefault="0010420B" w:rsidP="0010420B">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10420B" w:rsidRPr="007D6CB7" w:rsidRDefault="0010420B" w:rsidP="0010420B">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Dans les communes de moins de 1 000  habitants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Dans les communes  de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10420B" w:rsidRPr="007D6CB7" w:rsidRDefault="0010420B" w:rsidP="0010420B">
      <w:pPr>
        <w:pStyle w:val="NormalWeb"/>
        <w:spacing w:before="90" w:beforeAutospacing="0" w:after="0" w:afterAutospacing="0"/>
        <w:rPr>
          <w:sz w:val="22"/>
        </w:rPr>
      </w:pPr>
      <w:r w:rsidRPr="007D6CB7">
        <w:rPr>
          <w:sz w:val="22"/>
        </w:rPr>
        <w:t>- Les affiches électorales</w:t>
      </w:r>
    </w:p>
    <w:p w:rsidR="0010420B" w:rsidRPr="007D6CB7" w:rsidRDefault="0010420B" w:rsidP="0010420B">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10420B" w:rsidRPr="007D6CB7" w:rsidRDefault="0010420B" w:rsidP="0010420B">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10420B" w:rsidRPr="007D6CB7" w:rsidRDefault="0010420B" w:rsidP="0010420B">
      <w:pPr>
        <w:pStyle w:val="NormalWeb"/>
        <w:spacing w:before="90" w:beforeAutospacing="0" w:after="0" w:afterAutospacing="0"/>
        <w:rPr>
          <w:sz w:val="22"/>
        </w:rPr>
      </w:pPr>
      <w:r w:rsidRPr="007D6CB7">
        <w:rPr>
          <w:sz w:val="22"/>
        </w:rPr>
        <w:lastRenderedPageBreak/>
        <w:t>Seul est limité le nombre d’affiches pouvant faire l’objet d’un remboursement forfaitaire, dans les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affiches sont imprimées et apposées par les soins des listes ou de leurs représentants.</w:t>
      </w:r>
    </w:p>
    <w:p w:rsidR="0010420B" w:rsidRPr="007D6CB7" w:rsidRDefault="0010420B" w:rsidP="0010420B">
      <w:pPr>
        <w:pStyle w:val="Titre4"/>
        <w:spacing w:before="90" w:after="0"/>
        <w:jc w:val="left"/>
        <w:rPr>
          <w:sz w:val="32"/>
        </w:rPr>
      </w:pPr>
      <w:bookmarkStart w:id="18" w:name="eztoc498504_0_1_1_3"/>
      <w:bookmarkEnd w:id="18"/>
      <w:r w:rsidRPr="007D6CB7">
        <w:rPr>
          <w:sz w:val="32"/>
        </w:rPr>
        <w:t>Les circulaires</w:t>
      </w:r>
    </w:p>
    <w:p w:rsidR="0010420B" w:rsidRPr="007D6CB7" w:rsidRDefault="0010420B" w:rsidP="0010420B">
      <w:pPr>
        <w:pStyle w:val="NormalWeb"/>
        <w:spacing w:before="90" w:beforeAutospacing="0" w:after="0" w:afterAutospacing="0"/>
        <w:rPr>
          <w:sz w:val="22"/>
        </w:rPr>
      </w:pPr>
      <w:r w:rsidRPr="007D6CB7">
        <w:rPr>
          <w:sz w:val="22"/>
        </w:rPr>
        <w:t>L’impression des circulaires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10420B" w:rsidRPr="007D6CB7" w:rsidRDefault="0010420B" w:rsidP="0010420B">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10420B" w:rsidRPr="007D6CB7" w:rsidRDefault="0010420B" w:rsidP="0010420B">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10420B" w:rsidRPr="007D6CB7" w:rsidRDefault="0010420B" w:rsidP="0010420B">
      <w:pPr>
        <w:pStyle w:val="Titre4"/>
        <w:spacing w:before="90" w:after="0"/>
        <w:jc w:val="left"/>
        <w:rPr>
          <w:sz w:val="32"/>
        </w:rPr>
      </w:pPr>
      <w:bookmarkStart w:id="19" w:name="eztoc498504_0_1_1_4"/>
      <w:bookmarkEnd w:id="19"/>
      <w:r w:rsidRPr="007D6CB7">
        <w:rPr>
          <w:sz w:val="32"/>
        </w:rPr>
        <w:t>Les bulletins de vote</w:t>
      </w:r>
    </w:p>
    <w:p w:rsidR="0010420B" w:rsidRPr="007D6CB7" w:rsidRDefault="0010420B" w:rsidP="0010420B">
      <w:pPr>
        <w:pStyle w:val="NormalWeb"/>
        <w:spacing w:before="90" w:beforeAutospacing="0" w:after="0" w:afterAutospacing="0"/>
        <w:rPr>
          <w:sz w:val="22"/>
        </w:rPr>
      </w:pPr>
      <w:r w:rsidRPr="007D6CB7">
        <w:rPr>
          <w:sz w:val="22"/>
        </w:rPr>
        <w:t>a) Principes généraux</w:t>
      </w:r>
    </w:p>
    <w:p w:rsidR="0010420B" w:rsidRPr="007D6CB7" w:rsidRDefault="0010420B" w:rsidP="0010420B">
      <w:pPr>
        <w:pStyle w:val="NormalWeb"/>
        <w:spacing w:before="90" w:beforeAutospacing="0" w:after="0" w:afterAutospacing="0"/>
        <w:rPr>
          <w:sz w:val="22"/>
        </w:rPr>
      </w:pPr>
      <w:r w:rsidRPr="007D6CB7">
        <w:rPr>
          <w:sz w:val="22"/>
        </w:rPr>
        <w:t>L’impression des bulletins de vote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Les bulletins doivent être imprimés en une seule couleur sur papier blanc.</w:t>
      </w:r>
    </w:p>
    <w:p w:rsidR="0010420B" w:rsidRPr="007D6CB7" w:rsidRDefault="0010420B" w:rsidP="0010420B">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celle-ci  (art. R. 235).</w:t>
      </w:r>
    </w:p>
    <w:p w:rsidR="0010420B" w:rsidRPr="007D6CB7" w:rsidRDefault="0010420B" w:rsidP="0010420B">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10420B" w:rsidRPr="007D6CB7" w:rsidRDefault="0010420B" w:rsidP="00396A56">
      <w:pPr>
        <w:numPr>
          <w:ilvl w:val="0"/>
          <w:numId w:val="10"/>
        </w:numPr>
        <w:autoSpaceDE w:val="0"/>
        <w:autoSpaceDN w:val="0"/>
        <w:adjustRightInd w:val="0"/>
        <w:spacing w:before="90"/>
        <w:rPr>
          <w:sz w:val="22"/>
        </w:rPr>
      </w:pPr>
      <w:r w:rsidRPr="007D6CB7">
        <w:rPr>
          <w:sz w:val="22"/>
        </w:rPr>
        <w:t>105 x 148 millimètres pour les bulletins comportant 1 à 4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148 x 210 millimètres pour les listes comportant de 5 à 31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210 x 297 millimètres pour les listes comportant plus de 31 noms  (art. R. 30 modifié).</w:t>
      </w:r>
    </w:p>
    <w:p w:rsidR="0010420B" w:rsidRPr="007D6CB7" w:rsidRDefault="0010420B" w:rsidP="0010420B">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b)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10420B" w:rsidRPr="007D6CB7" w:rsidRDefault="0010420B" w:rsidP="0010420B">
      <w:pPr>
        <w:pStyle w:val="Titre3"/>
        <w:spacing w:before="90"/>
        <w:rPr>
          <w:sz w:val="28"/>
        </w:rPr>
      </w:pPr>
      <w:bookmarkStart w:id="20" w:name="eztoc498504_0_1_2"/>
      <w:bookmarkStart w:id="21" w:name="_Toc462401493"/>
      <w:bookmarkEnd w:id="20"/>
      <w:r w:rsidRPr="007D6CB7">
        <w:rPr>
          <w:sz w:val="28"/>
        </w:rPr>
        <w:t>2. Les moyens de propagande interdits</w:t>
      </w:r>
      <w:bookmarkEnd w:id="21"/>
    </w:p>
    <w:p w:rsidR="0010420B" w:rsidRPr="007D6CB7" w:rsidRDefault="0010420B" w:rsidP="0010420B">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10420B" w:rsidRPr="007D6CB7" w:rsidRDefault="0010420B" w:rsidP="0010420B">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10420B" w:rsidRPr="007D6CB7" w:rsidRDefault="0010420B" w:rsidP="00396A56">
      <w:pPr>
        <w:numPr>
          <w:ilvl w:val="0"/>
          <w:numId w:val="11"/>
        </w:numPr>
        <w:autoSpaceDE w:val="0"/>
        <w:autoSpaceDN w:val="0"/>
        <w:adjustRightInd w:val="0"/>
        <w:spacing w:before="90"/>
        <w:rPr>
          <w:sz w:val="22"/>
        </w:rPr>
      </w:pPr>
      <w:r w:rsidRPr="007D6CB7">
        <w:rPr>
          <w:sz w:val="22"/>
        </w:rPr>
        <w:t>toute campagne de promotion publicitaire des réalisations ou de la gestion d’une collectivité sur le territoire des collectivités intéressées par le scrutin (art. L. 52-1) ;</w:t>
      </w:r>
    </w:p>
    <w:p w:rsidR="0010420B" w:rsidRPr="007D6CB7" w:rsidRDefault="0010420B" w:rsidP="00396A56">
      <w:pPr>
        <w:numPr>
          <w:ilvl w:val="0"/>
          <w:numId w:val="11"/>
        </w:numPr>
        <w:autoSpaceDE w:val="0"/>
        <w:autoSpaceDN w:val="0"/>
        <w:adjustRightInd w:val="0"/>
        <w:spacing w:before="90"/>
        <w:rPr>
          <w:sz w:val="22"/>
        </w:rPr>
      </w:pPr>
      <w:r w:rsidRPr="007D6CB7">
        <w:rPr>
          <w:sz w:val="22"/>
        </w:rPr>
        <w:t>l’utilisation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10420B" w:rsidRPr="007D6CB7" w:rsidRDefault="0010420B" w:rsidP="00396A56">
      <w:pPr>
        <w:numPr>
          <w:ilvl w:val="0"/>
          <w:numId w:val="11"/>
        </w:numPr>
        <w:autoSpaceDE w:val="0"/>
        <w:autoSpaceDN w:val="0"/>
        <w:adjustRightInd w:val="0"/>
        <w:spacing w:before="90"/>
        <w:rPr>
          <w:sz w:val="22"/>
        </w:rPr>
      </w:pPr>
      <w:r w:rsidRPr="007D6CB7">
        <w:rPr>
          <w:sz w:val="22"/>
        </w:rPr>
        <w:lastRenderedPageBreak/>
        <w:t>le recours à tout affichage relatif à l’élection en dehors des emplacements réservés à cet effet, sur l’emplacement réservé aux autres candidats ainsi qu’en dehors des panneaux d’affichage d’expression libre lorsqu’il en existe ;</w:t>
      </w:r>
    </w:p>
    <w:p w:rsidR="0010420B" w:rsidRPr="007D6CB7" w:rsidRDefault="0010420B" w:rsidP="00396A56">
      <w:pPr>
        <w:numPr>
          <w:ilvl w:val="0"/>
          <w:numId w:val="11"/>
        </w:numPr>
        <w:autoSpaceDE w:val="0"/>
        <w:autoSpaceDN w:val="0"/>
        <w:adjustRightInd w:val="0"/>
        <w:spacing w:before="90"/>
        <w:rPr>
          <w:sz w:val="22"/>
        </w:rPr>
      </w:pPr>
      <w:r w:rsidRPr="007D6CB7">
        <w:rPr>
          <w:sz w:val="22"/>
        </w:rPr>
        <w:t>le fait de porter à la connaissance du public par une liste ou à son profit un numéro d’appel téléphonique ou télématique gratuit.</w:t>
      </w:r>
    </w:p>
    <w:p w:rsidR="0010420B" w:rsidRPr="007D6CB7" w:rsidRDefault="0010420B" w:rsidP="0010420B">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10420B" w:rsidRPr="007D6CB7" w:rsidRDefault="0010420B" w:rsidP="00396A56">
      <w:pPr>
        <w:numPr>
          <w:ilvl w:val="0"/>
          <w:numId w:val="12"/>
        </w:numPr>
        <w:autoSpaceDE w:val="0"/>
        <w:autoSpaceDN w:val="0"/>
        <w:adjustRightInd w:val="0"/>
        <w:spacing w:before="90"/>
        <w:rPr>
          <w:sz w:val="22"/>
        </w:rPr>
      </w:pPr>
      <w:r w:rsidRPr="007D6CB7">
        <w:rPr>
          <w:sz w:val="22"/>
        </w:rPr>
        <w:t>les affiches électorales sur papier blanc ou qui comprennent la combinaison des trois couleurs : bleu, blanc et rouge, à l’exception de la reproduction de l’emblème d’un parti ou groupement politique ;</w:t>
      </w:r>
    </w:p>
    <w:p w:rsidR="0010420B" w:rsidRPr="007D6CB7" w:rsidRDefault="0010420B" w:rsidP="00396A56">
      <w:pPr>
        <w:numPr>
          <w:ilvl w:val="0"/>
          <w:numId w:val="12"/>
        </w:numPr>
        <w:autoSpaceDE w:val="0"/>
        <w:autoSpaceDN w:val="0"/>
        <w:adjustRightInd w:val="0"/>
        <w:spacing w:before="90"/>
        <w:rPr>
          <w:sz w:val="22"/>
        </w:rPr>
      </w:pPr>
      <w:r w:rsidRPr="007D6CB7">
        <w:rPr>
          <w:sz w:val="22"/>
        </w:rPr>
        <w:t>l’impression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10420B" w:rsidRPr="007D6CB7" w:rsidRDefault="0010420B" w:rsidP="00396A56">
      <w:pPr>
        <w:numPr>
          <w:ilvl w:val="0"/>
          <w:numId w:val="12"/>
        </w:numPr>
        <w:autoSpaceDE w:val="0"/>
        <w:autoSpaceDN w:val="0"/>
        <w:adjustRightInd w:val="0"/>
        <w:spacing w:before="90"/>
        <w:rPr>
          <w:sz w:val="22"/>
        </w:rPr>
      </w:pPr>
      <w:r w:rsidRPr="007D6CB7">
        <w:rPr>
          <w:sz w:val="22"/>
        </w:rPr>
        <w:t>tout affichage relatif à l’élection sur l’emplacement réservé aux autres candidats.</w:t>
      </w:r>
    </w:p>
    <w:p w:rsidR="0010420B" w:rsidRPr="007D6CB7" w:rsidRDefault="0010420B" w:rsidP="0010420B">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10420B" w:rsidRPr="007D6CB7" w:rsidRDefault="0010420B" w:rsidP="00396A56">
      <w:pPr>
        <w:numPr>
          <w:ilvl w:val="0"/>
          <w:numId w:val="13"/>
        </w:numPr>
        <w:autoSpaceDE w:val="0"/>
        <w:autoSpaceDN w:val="0"/>
        <w:adjustRightInd w:val="0"/>
        <w:spacing w:before="90"/>
        <w:rPr>
          <w:sz w:val="22"/>
        </w:rPr>
      </w:pPr>
      <w:r w:rsidRPr="007D6CB7">
        <w:rPr>
          <w:sz w:val="22"/>
        </w:rPr>
        <w:t>de distribuer ou faire distribuer des bulletins, circulaires et autres documents, notamment des tracts ;</w:t>
      </w:r>
    </w:p>
    <w:p w:rsidR="0010420B" w:rsidRPr="007D6CB7" w:rsidRDefault="0010420B" w:rsidP="00396A56">
      <w:pPr>
        <w:numPr>
          <w:ilvl w:val="0"/>
          <w:numId w:val="13"/>
        </w:numPr>
        <w:autoSpaceDE w:val="0"/>
        <w:autoSpaceDN w:val="0"/>
        <w:adjustRightInd w:val="0"/>
        <w:spacing w:before="90"/>
        <w:rPr>
          <w:sz w:val="22"/>
        </w:rPr>
      </w:pPr>
      <w:r w:rsidRPr="007D6CB7">
        <w:rPr>
          <w:sz w:val="22"/>
        </w:rPr>
        <w:t>de diffuser ou de faire diffuser par tout moyen de communication au public par voie électronique tout message ayant le caractère de propagande électorale ;</w:t>
      </w:r>
    </w:p>
    <w:p w:rsidR="0010420B" w:rsidRPr="007D6CB7" w:rsidRDefault="0010420B" w:rsidP="00396A56">
      <w:pPr>
        <w:numPr>
          <w:ilvl w:val="0"/>
          <w:numId w:val="13"/>
        </w:numPr>
        <w:autoSpaceDE w:val="0"/>
        <w:autoSpaceDN w:val="0"/>
        <w:adjustRightInd w:val="0"/>
        <w:spacing w:before="90"/>
        <w:rPr>
          <w:sz w:val="22"/>
        </w:rPr>
      </w:pPr>
      <w:r w:rsidRPr="007D6CB7">
        <w:rPr>
          <w:sz w:val="22"/>
        </w:rPr>
        <w:t>de procéder, par un système automatisé ou non, à l’appel téléphonique en série des électeurs (technique dite du « phoning » afin de les inciter à voter pour une liste.</w:t>
      </w:r>
    </w:p>
    <w:p w:rsidR="0010420B" w:rsidRPr="007D6CB7" w:rsidRDefault="0010420B" w:rsidP="0010420B">
      <w:pPr>
        <w:pStyle w:val="NormalWeb"/>
        <w:spacing w:before="90" w:beforeAutospacing="0" w:after="0" w:afterAutospacing="0"/>
        <w:rPr>
          <w:sz w:val="22"/>
        </w:rPr>
      </w:pPr>
      <w:r w:rsidRPr="007D6CB7">
        <w:rPr>
          <w:sz w:val="22"/>
        </w:rPr>
        <w:t>Interdiction le jour du scrutin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Il est interdit de distribuer ou faire distribuer le jour du scrutin des bulletins, circulaires et autres documents (art. L. 49).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10420B" w:rsidRPr="007D6CB7" w:rsidRDefault="0010420B" w:rsidP="00396A56">
      <w:pPr>
        <w:numPr>
          <w:ilvl w:val="0"/>
          <w:numId w:val="14"/>
        </w:numPr>
        <w:autoSpaceDE w:val="0"/>
        <w:autoSpaceDN w:val="0"/>
        <w:adjustRightInd w:val="0"/>
        <w:spacing w:before="9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10420B" w:rsidRPr="007D6CB7" w:rsidRDefault="0010420B" w:rsidP="0010420B">
      <w:pPr>
        <w:pStyle w:val="Titre2"/>
        <w:spacing w:before="90"/>
        <w:rPr>
          <w:sz w:val="40"/>
        </w:rPr>
      </w:pPr>
      <w:bookmarkStart w:id="22" w:name="eztoc498504_0_2"/>
      <w:bookmarkStart w:id="23" w:name="_Toc462401494"/>
      <w:bookmarkEnd w:id="22"/>
      <w:r w:rsidRPr="007D6CB7">
        <w:rPr>
          <w:sz w:val="40"/>
        </w:rPr>
        <w:t>B - La communication des collectivités locales</w:t>
      </w:r>
      <w:bookmarkEnd w:id="23"/>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10420B" w:rsidRPr="007D6CB7" w:rsidRDefault="0010420B" w:rsidP="0010420B">
      <w:pPr>
        <w:pStyle w:val="Titre3"/>
        <w:spacing w:before="90"/>
        <w:rPr>
          <w:sz w:val="28"/>
        </w:rPr>
      </w:pPr>
      <w:bookmarkStart w:id="24" w:name="eztoc498504_0_2_3"/>
      <w:bookmarkStart w:id="25" w:name="_Toc462401495"/>
      <w:bookmarkEnd w:id="24"/>
      <w:r w:rsidRPr="007D6CB7">
        <w:rPr>
          <w:sz w:val="28"/>
        </w:rPr>
        <w:t>Bulletin municipal</w:t>
      </w:r>
      <w:bookmarkEnd w:id="25"/>
    </w:p>
    <w:p w:rsidR="0010420B" w:rsidRPr="007D6CB7" w:rsidRDefault="0010420B" w:rsidP="0010420B">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10420B" w:rsidRPr="007D6CB7" w:rsidRDefault="0010420B" w:rsidP="0010420B">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10420B" w:rsidRPr="007D6CB7" w:rsidRDefault="0010420B" w:rsidP="0010420B">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10420B" w:rsidRPr="007D6CB7" w:rsidRDefault="0010420B" w:rsidP="0010420B">
      <w:pPr>
        <w:pStyle w:val="Titre3"/>
        <w:spacing w:before="90"/>
        <w:rPr>
          <w:sz w:val="28"/>
        </w:rPr>
      </w:pPr>
      <w:bookmarkStart w:id="26" w:name="eztoc498504_0_2_4"/>
      <w:bookmarkStart w:id="27" w:name="_Toc462401496"/>
      <w:bookmarkEnd w:id="26"/>
      <w:r w:rsidRPr="007D6CB7">
        <w:rPr>
          <w:sz w:val="28"/>
        </w:rPr>
        <w:lastRenderedPageBreak/>
        <w:t>Organisation d’événements</w:t>
      </w:r>
      <w:bookmarkEnd w:id="27"/>
    </w:p>
    <w:p w:rsidR="0010420B" w:rsidRPr="007D6CB7" w:rsidRDefault="0010420B" w:rsidP="0010420B">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10420B" w:rsidRPr="007D6CB7" w:rsidRDefault="0010420B" w:rsidP="0010420B">
      <w:pPr>
        <w:pStyle w:val="NormalWeb"/>
        <w:spacing w:before="90" w:beforeAutospacing="0" w:after="0" w:afterAutospacing="0"/>
        <w:rPr>
          <w:sz w:val="22"/>
        </w:rPr>
      </w:pPr>
      <w:r w:rsidRPr="007D6CB7">
        <w:rPr>
          <w:sz w:val="22"/>
        </w:rPr>
        <w:t>Comme pour le bulletin municipal, la présentation, à cette occasion, des réalisations ou de la gestion d'une collectivité ne doit pas constituer une campagne de promotion publicitaire au sens des dispositions de l'article  L. 52-1.</w:t>
      </w:r>
    </w:p>
    <w:p w:rsidR="0010420B" w:rsidRPr="007D6CB7" w:rsidRDefault="0010420B" w:rsidP="0010420B">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10420B" w:rsidRPr="007D6CB7" w:rsidRDefault="0010420B" w:rsidP="0010420B">
      <w:pPr>
        <w:pStyle w:val="Titre3"/>
        <w:spacing w:before="90"/>
        <w:rPr>
          <w:sz w:val="28"/>
        </w:rPr>
      </w:pPr>
      <w:bookmarkStart w:id="28" w:name="eztoc498504_0_2_5"/>
      <w:bookmarkStart w:id="29" w:name="_Toc462401497"/>
      <w:bookmarkEnd w:id="28"/>
      <w:r w:rsidRPr="007D6CB7">
        <w:rPr>
          <w:sz w:val="28"/>
        </w:rPr>
        <w:t>Propagande sur Internet</w:t>
      </w:r>
      <w:bookmarkEnd w:id="29"/>
    </w:p>
    <w:p w:rsidR="0010420B" w:rsidRPr="007D6CB7" w:rsidRDefault="0010420B" w:rsidP="0010420B">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10420B" w:rsidRPr="007D6CB7" w:rsidRDefault="0010420B" w:rsidP="0010420B">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10420B" w:rsidRPr="007D6CB7" w:rsidRDefault="0010420B" w:rsidP="0010420B">
      <w:pPr>
        <w:pStyle w:val="Titre2"/>
        <w:spacing w:before="90"/>
        <w:rPr>
          <w:sz w:val="40"/>
        </w:rPr>
      </w:pPr>
      <w:bookmarkStart w:id="30" w:name="eztoc498504_0_3"/>
      <w:bookmarkStart w:id="31" w:name="_Toc462401498"/>
      <w:bookmarkEnd w:id="30"/>
      <w:r w:rsidRPr="007D6CB7">
        <w:rPr>
          <w:sz w:val="40"/>
        </w:rPr>
        <w:t>C - Les moyens de propagande autorisés et interdits sur Internet :</w:t>
      </w:r>
      <w:bookmarkEnd w:id="31"/>
    </w:p>
    <w:p w:rsidR="0010420B" w:rsidRPr="007D6CB7" w:rsidRDefault="0010420B" w:rsidP="0010420B">
      <w:pPr>
        <w:pStyle w:val="Titre3"/>
        <w:spacing w:before="90"/>
        <w:rPr>
          <w:sz w:val="28"/>
        </w:rPr>
      </w:pPr>
      <w:bookmarkStart w:id="32" w:name="eztoc498504_0_3_6"/>
      <w:bookmarkStart w:id="33" w:name="_Toc462401499"/>
      <w:bookmarkEnd w:id="32"/>
      <w:r w:rsidRPr="007D6CB7">
        <w:rPr>
          <w:sz w:val="28"/>
        </w:rPr>
        <w:t>Sites Internet des candidats</w:t>
      </w:r>
      <w:bookmarkEnd w:id="33"/>
    </w:p>
    <w:p w:rsidR="0010420B" w:rsidRPr="007D6CB7" w:rsidRDefault="0010420B" w:rsidP="0010420B">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10420B" w:rsidRPr="007D6CB7" w:rsidRDefault="0010420B" w:rsidP="0010420B">
      <w:pPr>
        <w:pStyle w:val="Titre3"/>
        <w:spacing w:before="90"/>
        <w:rPr>
          <w:sz w:val="28"/>
        </w:rPr>
      </w:pPr>
      <w:bookmarkStart w:id="34" w:name="eztoc498504_0_3_7"/>
      <w:bookmarkStart w:id="35" w:name="_Toc462401500"/>
      <w:bookmarkEnd w:id="34"/>
      <w:r w:rsidRPr="007D6CB7">
        <w:rPr>
          <w:sz w:val="28"/>
        </w:rPr>
        <w:t>Publicité commerciale et Internet</w:t>
      </w:r>
      <w:bookmarkEnd w:id="35"/>
    </w:p>
    <w:p w:rsidR="0010420B" w:rsidRPr="007D6CB7" w:rsidRDefault="0010420B" w:rsidP="0010420B">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10420B" w:rsidRPr="007D6CB7" w:rsidRDefault="0010420B" w:rsidP="0010420B">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En revanche, cette interdiction peut être entendue comme s’appliquant à tous les procédés de publicité couramment employés sur Internet (achat de liens sponsorisés ou de mots-cléfs,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10420B" w:rsidRPr="007D6CB7" w:rsidRDefault="0010420B" w:rsidP="0010420B">
      <w:pPr>
        <w:pStyle w:val="Titre3"/>
        <w:spacing w:before="90"/>
        <w:rPr>
          <w:sz w:val="28"/>
        </w:rPr>
      </w:pPr>
      <w:bookmarkStart w:id="36" w:name="eztoc498504_0_3_8"/>
      <w:bookmarkStart w:id="37" w:name="_Toc462401501"/>
      <w:bookmarkEnd w:id="36"/>
      <w:r w:rsidRPr="007D6CB7">
        <w:rPr>
          <w:sz w:val="28"/>
        </w:rPr>
        <w:t>Sites Internet la veille et le jour du scrutin</w:t>
      </w:r>
      <w:bookmarkEnd w:id="37"/>
    </w:p>
    <w:p w:rsidR="0010420B" w:rsidRPr="007D6CB7" w:rsidRDefault="0010420B" w:rsidP="0010420B">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10420B" w:rsidRPr="007D6CB7" w:rsidRDefault="0010420B" w:rsidP="0010420B">
      <w:pPr>
        <w:pStyle w:val="NormalWeb"/>
        <w:spacing w:before="90" w:beforeAutospacing="0" w:after="0" w:afterAutospacing="0"/>
        <w:rPr>
          <w:sz w:val="22"/>
        </w:rPr>
      </w:pPr>
      <w:r w:rsidRPr="007D6CB7">
        <w:rPr>
          <w:sz w:val="22"/>
        </w:rPr>
        <w:lastRenderedPageBreak/>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10420B" w:rsidRPr="007D6CB7" w:rsidRDefault="0010420B" w:rsidP="0010420B">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10420B" w:rsidRPr="002C5C36" w:rsidRDefault="0010420B" w:rsidP="0010420B">
      <w:pPr>
        <w:pStyle w:val="TM1"/>
      </w:pPr>
      <w:r>
        <w:br w:type="page"/>
      </w:r>
    </w:p>
    <w:p w:rsidR="0010420B" w:rsidRPr="002C5C36" w:rsidRDefault="0010420B" w:rsidP="0010420B"/>
    <w:p w:rsidR="0010420B" w:rsidRDefault="0010420B" w:rsidP="0010420B">
      <w:pPr>
        <w:pStyle w:val="Titre1"/>
        <w:spacing w:before="0"/>
      </w:pPr>
      <w:bookmarkStart w:id="38" w:name="_Toc462401502"/>
      <w:bookmarkStart w:id="39" w:name="_Toc33528189"/>
      <w:r>
        <w:t>Articles du Code électoral traitant de "Propagande"</w:t>
      </w:r>
      <w:bookmarkEnd w:id="39"/>
    </w:p>
    <w:p w:rsidR="0010420B" w:rsidRPr="008F24AF" w:rsidRDefault="0010420B" w:rsidP="0010420B">
      <w:pPr>
        <w:pStyle w:val="Titre1"/>
        <w:spacing w:before="0"/>
      </w:pPr>
      <w:bookmarkStart w:id="40" w:name="_Toc33527365"/>
      <w:bookmarkStart w:id="41" w:name="_Toc33528190"/>
      <w:r w:rsidRPr="008F24AF">
        <w:t>Titre Ier : Dispositions communes à l'élection des députés, des conseillers départementaux, des conseillers municipaux et des conseillers communautaires</w:t>
      </w:r>
      <w:bookmarkEnd w:id="38"/>
      <w:bookmarkEnd w:id="40"/>
      <w:bookmarkEnd w:id="41"/>
    </w:p>
    <w:p w:rsidR="0010420B" w:rsidRPr="007D6CB7" w:rsidRDefault="0010420B" w:rsidP="0010420B">
      <w:pPr>
        <w:pStyle w:val="Titre2"/>
      </w:pPr>
      <w:bookmarkStart w:id="42" w:name="_Toc462401503"/>
      <w:r w:rsidRPr="007D6CB7">
        <w:t>Chapitre V : Propagande</w:t>
      </w:r>
      <w:bookmarkEnd w:id="42"/>
    </w:p>
    <w:p w:rsidR="0010420B" w:rsidRPr="007D6CB7" w:rsidRDefault="0010420B" w:rsidP="0010420B">
      <w:r w:rsidRPr="007D6CB7">
        <w:rPr>
          <w:b/>
          <w:bCs/>
          <w:color w:val="224466"/>
        </w:rPr>
        <w:t xml:space="preserve">L. 47 </w:t>
      </w:r>
      <w:r w:rsidRPr="007D6CB7">
        <w:t>Décret 64-1086 1964-10-27 JORF 28 OCTOBRE 1964</w:t>
      </w:r>
    </w:p>
    <w:p w:rsidR="0010420B" w:rsidRPr="007D6CB7" w:rsidRDefault="0010420B" w:rsidP="0010420B">
      <w:r w:rsidRPr="007D6CB7">
        <w:t>Les conditions dans lesquelles peuvent être tenues les réunions électorales sont fixées par la loi du 30 juin 1881 sur la liberté de réunion et par la loi du 28 mars 1907 relative aux réunions publiques.</w:t>
      </w:r>
    </w:p>
    <w:p w:rsidR="0010420B" w:rsidRDefault="0010420B" w:rsidP="0010420B">
      <w:r>
        <w:rPr>
          <w:b/>
          <w:bCs/>
          <w:color w:val="224466"/>
          <w:sz w:val="17"/>
          <w:szCs w:val="17"/>
        </w:rPr>
        <w:t xml:space="preserve">L. 48 </w:t>
      </w:r>
      <w:r>
        <w:t>Décret 64-1086 1964-10-27 JORF 28 OCTOBRE 1964</w:t>
      </w:r>
    </w:p>
    <w:p w:rsidR="0010420B" w:rsidRDefault="0010420B" w:rsidP="0010420B">
      <w:r>
        <w:t>Sont applicables à la propagande les dispositions de la loi du 29 juillet 1881 sur la liberté de la presse, à l'exception de son article 16.</w:t>
      </w:r>
    </w:p>
    <w:p w:rsidR="0010420B" w:rsidRDefault="0010420B" w:rsidP="0010420B">
      <w:r>
        <w:t xml:space="preserve">Ainsi qu'il est dit à l'alinéa 3 de l'article </w:t>
      </w:r>
      <w:r>
        <w:rPr>
          <w:i/>
          <w:iCs/>
          <w:color w:val="224466"/>
        </w:rPr>
        <w:t xml:space="preserve">15 </w:t>
      </w:r>
      <w:r>
        <w:t>de ladite loi, les affiches des actes émanés de l'autorité seront seules imprimées sur papier blanc.</w:t>
      </w:r>
    </w:p>
    <w:p w:rsidR="0010420B" w:rsidRDefault="0010420B" w:rsidP="0010420B">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10420B" w:rsidRDefault="0010420B" w:rsidP="0010420B">
      <w:r>
        <w:rPr>
          <w:b/>
          <w:bCs/>
          <w:color w:val="224466"/>
          <w:sz w:val="17"/>
          <w:szCs w:val="17"/>
        </w:rPr>
        <w:t xml:space="preserve">L. 48-1 </w:t>
      </w:r>
      <w:r>
        <w:t>LOI n°2011-412 du 14 avril 2011 - art. 2 - NOR: IOCX1101461L</w:t>
      </w:r>
    </w:p>
    <w:p w:rsidR="0010420B" w:rsidRDefault="0010420B" w:rsidP="0010420B">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10420B" w:rsidRDefault="0010420B" w:rsidP="0010420B">
      <w:r>
        <w:rPr>
          <w:b/>
          <w:bCs/>
          <w:color w:val="224466"/>
          <w:sz w:val="17"/>
          <w:szCs w:val="17"/>
        </w:rPr>
        <w:t xml:space="preserve">L. 48-2 </w:t>
      </w:r>
      <w:r>
        <w:t>LOI n°2011-412 du 14 avril 2011 - art. 3 - NOR: IOCX1101461L</w:t>
      </w:r>
    </w:p>
    <w:p w:rsidR="0010420B" w:rsidRDefault="0010420B" w:rsidP="0010420B">
      <w:r>
        <w:t>Il est interdit à tout candidat de porter à la connaissance du public un élément nouveau de polémique électorale à un moment tel que ses adversaires n'aient pas la possibilité d'y répondre utilement avant la fin de la campagne électorale.</w:t>
      </w:r>
    </w:p>
    <w:p w:rsidR="0010420B" w:rsidRDefault="0010420B" w:rsidP="0010420B">
      <w:r>
        <w:rPr>
          <w:b/>
          <w:bCs/>
          <w:color w:val="224466"/>
          <w:sz w:val="17"/>
          <w:szCs w:val="17"/>
        </w:rPr>
        <w:t xml:space="preserve">L. 49 </w:t>
      </w:r>
      <w:r>
        <w:t>LOI n°2011-412 du 14 avril 2011 - art. 4 - NOR: IOCX1101461L</w:t>
      </w:r>
    </w:p>
    <w:p w:rsidR="0010420B" w:rsidRDefault="0010420B" w:rsidP="0010420B">
      <w:r>
        <w:t>A partir de la veille du scrutin à zéro heure, il est interdit de distribuer ou faire distribuer des bulletins, circulaires et autres documents.</w:t>
      </w:r>
    </w:p>
    <w:p w:rsidR="0010420B" w:rsidRDefault="0010420B" w:rsidP="0010420B">
      <w:r>
        <w:t>A partir de la veille du scrutin à zéro heure, il est également interdit de diffuser ou de faire diffuser par tout moyen de communication au public par voie électronique tout message ayant le caractère de propagande électorale.</w:t>
      </w:r>
    </w:p>
    <w:p w:rsidR="0010420B" w:rsidRDefault="0010420B" w:rsidP="0010420B">
      <w:r>
        <w:rPr>
          <w:b/>
          <w:bCs/>
          <w:color w:val="224466"/>
          <w:sz w:val="17"/>
          <w:szCs w:val="17"/>
        </w:rPr>
        <w:t xml:space="preserve">L. 49-1 </w:t>
      </w:r>
      <w:r>
        <w:t>LOI n°2011-412 du 14 avril 2011 - art. 5 - NOR: IOCX1101461L</w:t>
      </w:r>
    </w:p>
    <w:p w:rsidR="0010420B" w:rsidRDefault="0010420B" w:rsidP="0010420B">
      <w:r>
        <w:t>A partir de la veille du scrutin à zéro heure, il est interdit de procéder, par un système automatisé ou non, à l'appel téléphonique en série des électeurs afin de les inciter à voter pour un candidat.</w:t>
      </w:r>
    </w:p>
    <w:p w:rsidR="0010420B" w:rsidRDefault="0010420B" w:rsidP="0010420B">
      <w:r>
        <w:rPr>
          <w:b/>
          <w:bCs/>
          <w:color w:val="224466"/>
          <w:sz w:val="17"/>
          <w:szCs w:val="17"/>
        </w:rPr>
        <w:t xml:space="preserve">L. 50 </w:t>
      </w:r>
      <w:r>
        <w:t>Décret 64-1086 1964-10-27 JORF 28 OCTOBRE 1964</w:t>
      </w:r>
    </w:p>
    <w:p w:rsidR="0010420B" w:rsidRDefault="0010420B" w:rsidP="0010420B">
      <w:r>
        <w:t>Il est interdit à tout agent de l'autorité publique ou municipale de distribuer des bulletins de vote, professions de foi et circulaires des candidats.</w:t>
      </w:r>
    </w:p>
    <w:p w:rsidR="0010420B" w:rsidRDefault="0010420B" w:rsidP="0010420B">
      <w:r>
        <w:rPr>
          <w:b/>
          <w:bCs/>
          <w:color w:val="224466"/>
          <w:sz w:val="17"/>
          <w:szCs w:val="17"/>
        </w:rPr>
        <w:t xml:space="preserve">L. 50-1 </w:t>
      </w:r>
      <w:r>
        <w:t>LOI n°2011-412 du 14 avril 2011 - art. 6 - NOR: IOCX1101461L</w:t>
      </w:r>
    </w:p>
    <w:p w:rsidR="0010420B" w:rsidRDefault="0010420B" w:rsidP="0010420B">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10420B" w:rsidRDefault="0010420B" w:rsidP="0010420B">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10420B" w:rsidRDefault="0010420B" w:rsidP="0010420B">
      <w:r>
        <w:t>Dans chacun de ces emplacements, une surface égale est attribuée à chaque candidat, chaque binôme de candidats ou à chaque liste de candidats.</w:t>
      </w:r>
    </w:p>
    <w:p w:rsidR="0010420B" w:rsidRDefault="0010420B" w:rsidP="0010420B">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10420B" w:rsidRDefault="0010420B" w:rsidP="0010420B">
      <w:r>
        <w:rPr>
          <w:b/>
          <w:bCs/>
          <w:color w:val="224466"/>
          <w:sz w:val="17"/>
          <w:szCs w:val="17"/>
        </w:rPr>
        <w:t xml:space="preserve">L. 52 </w:t>
      </w:r>
      <w:r>
        <w:t>Décret 64-1086 1964-10-27 JORF 28 OCTOBRE 1964</w:t>
      </w:r>
    </w:p>
    <w:p w:rsidR="0010420B" w:rsidRDefault="0010420B" w:rsidP="0010420B">
      <w:r>
        <w:lastRenderedPageBreak/>
        <w:t>Si le maire refuse ou néglige de se conformer aux prescriptions de l'article précédent et aux dispositions réglementaires prises pour leur exécution, le préfet doit en assurer immédiatement l'application par lui-même ou par un délégué.</w:t>
      </w:r>
    </w:p>
    <w:p w:rsidR="0010420B" w:rsidRDefault="0010420B" w:rsidP="0010420B">
      <w:r>
        <w:rPr>
          <w:b/>
          <w:bCs/>
          <w:color w:val="224466"/>
          <w:sz w:val="17"/>
          <w:szCs w:val="17"/>
        </w:rPr>
        <w:t xml:space="preserve">L. 52-1 </w:t>
      </w:r>
      <w:r>
        <w:t>LOI n°2011-412 du 14 avril 2011 - art. 6 - NOR: IOCX1101461L</w:t>
      </w:r>
    </w:p>
    <w:p w:rsidR="0010420B" w:rsidRDefault="0010420B" w:rsidP="0010420B">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10420B" w:rsidRDefault="0010420B" w:rsidP="0010420B">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10420B" w:rsidRDefault="0010420B" w:rsidP="0010420B">
      <w:r>
        <w:rPr>
          <w:b/>
          <w:bCs/>
          <w:color w:val="224466"/>
          <w:sz w:val="17"/>
          <w:szCs w:val="17"/>
        </w:rPr>
        <w:t xml:space="preserve">L. 52-2 </w:t>
      </w:r>
      <w:r>
        <w:t>LOI n°2016-508 du 25 avril 2016 - art. 1 - NOR: INTX1527491L</w:t>
      </w:r>
    </w:p>
    <w:p w:rsidR="0010420B" w:rsidRDefault="0010420B" w:rsidP="0010420B">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10420B" w:rsidRDefault="0010420B" w:rsidP="0010420B">
      <w:r>
        <w:t>En cas d'élections partielles, les mêmes dispositions s'appliquent jusqu'à la fermeture du dernier bureau de vote de la circonscription territoriale intéressée.</w:t>
      </w:r>
    </w:p>
    <w:p w:rsidR="0010420B" w:rsidRDefault="0010420B" w:rsidP="0010420B">
      <w:r>
        <w:rPr>
          <w:b/>
          <w:bCs/>
          <w:color w:val="224466"/>
          <w:sz w:val="17"/>
          <w:szCs w:val="17"/>
        </w:rPr>
        <w:t xml:space="preserve">L. 52-3 </w:t>
      </w:r>
      <w:r>
        <w:t>LOI n°2013-403 du 17 mai 2013 - art. 19 - NOR: INTX1238496L</w:t>
      </w:r>
    </w:p>
    <w:p w:rsidR="0010420B" w:rsidRDefault="0010420B" w:rsidP="0010420B">
      <w:r>
        <w:t>Chaque candidat, chaque binôme de candidats ou liste de candidats peut faire imprimer un emblème sur ses bulletins de vote.</w:t>
      </w:r>
    </w:p>
    <w:p w:rsidR="0010420B" w:rsidRDefault="0010420B" w:rsidP="0010420B"/>
    <w:p w:rsidR="0010420B" w:rsidRDefault="0010420B" w:rsidP="0010420B">
      <w:pPr>
        <w:pStyle w:val="Titre2"/>
      </w:pPr>
      <w:bookmarkStart w:id="43" w:name="_Toc462401504"/>
      <w:r>
        <w:t>Dispositions pénales</w:t>
      </w:r>
      <w:bookmarkEnd w:id="43"/>
    </w:p>
    <w:p w:rsidR="0010420B" w:rsidRDefault="0010420B" w:rsidP="0010420B">
      <w:r>
        <w:t>(…)</w:t>
      </w:r>
    </w:p>
    <w:p w:rsidR="0010420B" w:rsidRDefault="0010420B" w:rsidP="0010420B">
      <w:r>
        <w:rPr>
          <w:b/>
          <w:bCs/>
          <w:color w:val="224466"/>
          <w:sz w:val="17"/>
          <w:szCs w:val="17"/>
        </w:rPr>
        <w:t xml:space="preserve">L. 89 </w:t>
      </w:r>
      <w:r>
        <w:t>LOI n°2016-508 du 25 avril 2016 - art. 4 - NOR: INTX1527491L</w:t>
      </w:r>
    </w:p>
    <w:p w:rsidR="0010420B" w:rsidRDefault="0010420B" w:rsidP="0010420B">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10420B" w:rsidRDefault="0010420B" w:rsidP="0010420B">
      <w:r>
        <w:rPr>
          <w:b/>
          <w:bCs/>
          <w:color w:val="224466"/>
          <w:sz w:val="17"/>
          <w:szCs w:val="17"/>
        </w:rPr>
        <w:t xml:space="preserve">L. 90 </w:t>
      </w:r>
      <w:r>
        <w:t>Ordonnance n°2000-916 du 19 septembre 2000 - art. 1 (V) JORF 22 septembre 2000 en vigueur le 1er janvier 2002</w:t>
      </w:r>
    </w:p>
    <w:p w:rsidR="0010420B" w:rsidRDefault="0010420B" w:rsidP="0010420B">
      <w:r>
        <w:t>- NOR: JUSX0000106R</w:t>
      </w:r>
    </w:p>
    <w:p w:rsidR="0010420B" w:rsidRDefault="0010420B" w:rsidP="0010420B">
      <w:r>
        <w:t>Sera passible d'une amende de 9 000 euros :</w:t>
      </w:r>
    </w:p>
    <w:p w:rsidR="0010420B" w:rsidRDefault="0010420B" w:rsidP="0010420B">
      <w:r>
        <w:t>-tout candidat qui utilisera ou permettra d'utiliser son panneau d'affichage dans un but autre que la présentation et la défense de sa candidature et de son programme, pour son remerciement ou son désistement ;</w:t>
      </w:r>
    </w:p>
    <w:p w:rsidR="0010420B" w:rsidRDefault="0010420B" w:rsidP="0010420B">
      <w:r>
        <w:t>-tout candidat qui cédera à un tiers son emplacement d'affichage.</w:t>
      </w:r>
    </w:p>
    <w:p w:rsidR="0010420B" w:rsidRDefault="0010420B" w:rsidP="0010420B">
      <w:r>
        <w:t>Il sera en outre redevable des pénalités afférentes à l'affichage sans timbre.</w:t>
      </w:r>
    </w:p>
    <w:p w:rsidR="0010420B" w:rsidRDefault="0010420B" w:rsidP="0010420B">
      <w:r>
        <w:t xml:space="preserve">L'amende prévue à l'alinéa 1 du présent article sera également applicable à toute personne qui aura contrevenu aux dispositions du dernier alinéa de l'article </w:t>
      </w:r>
      <w:r>
        <w:rPr>
          <w:i/>
          <w:iCs/>
          <w:color w:val="224466"/>
        </w:rPr>
        <w:t>L. 51</w:t>
      </w:r>
      <w:r>
        <w:t>.</w:t>
      </w:r>
    </w:p>
    <w:p w:rsidR="0010420B" w:rsidRDefault="0010420B" w:rsidP="0010420B">
      <w:r>
        <w:rPr>
          <w:b/>
          <w:bCs/>
          <w:color w:val="224466"/>
          <w:sz w:val="17"/>
          <w:szCs w:val="17"/>
        </w:rPr>
        <w:t xml:space="preserve">L. 90-1 </w:t>
      </w:r>
      <w:r>
        <w:t>LOI n°2016-508 du 25 avril 2016 - art. 4 - NOR: INTX1527491L</w:t>
      </w:r>
    </w:p>
    <w:p w:rsidR="0010420B" w:rsidRDefault="0010420B" w:rsidP="0010420B">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10420B" w:rsidRDefault="0010420B" w:rsidP="0010420B">
      <w:r>
        <w:rPr>
          <w:b/>
          <w:bCs/>
          <w:color w:val="224466"/>
          <w:sz w:val="17"/>
          <w:szCs w:val="17"/>
        </w:rPr>
        <w:t xml:space="preserve">L. 97 </w:t>
      </w:r>
      <w:r>
        <w:t>Ordonnance n°2000-916 du 19 septembre 2000 - art. 1 (V) JORF 22 septembre 2000 en vigueur le 1er janvier 2002</w:t>
      </w:r>
    </w:p>
    <w:p w:rsidR="0010420B" w:rsidRDefault="0010420B" w:rsidP="0010420B">
      <w:r>
        <w:t>- NOR: JUSX0000106R</w:t>
      </w:r>
    </w:p>
    <w:p w:rsidR="0010420B" w:rsidRDefault="0010420B" w:rsidP="0010420B">
      <w:r>
        <w:t>Ceux qui, à l'aide de fausses nouvelles, bruits calomnieux ou autres manoeuvres frauduleuses, auront surpris ou détourné des suffrages, déterminé un ou plusieurs électeurs à s'abstenir de voter, seront punis d'un emprisonnement d'un an et d'une amende de 15 000 euros.</w:t>
      </w:r>
    </w:p>
    <w:p w:rsidR="0010420B" w:rsidRDefault="0010420B" w:rsidP="0010420B">
      <w:r>
        <w:rPr>
          <w:b/>
          <w:bCs/>
          <w:color w:val="224466"/>
          <w:sz w:val="17"/>
          <w:szCs w:val="17"/>
        </w:rPr>
        <w:t xml:space="preserve">L. 98 </w:t>
      </w:r>
      <w:r>
        <w:t>Ordonnance n°2000-916 du 19 septembre 2000 - art. 1 (V) JORF 22 septembre 2000 en vigueur le 1er janvier 2002</w:t>
      </w:r>
    </w:p>
    <w:p w:rsidR="0010420B" w:rsidRDefault="0010420B" w:rsidP="0010420B">
      <w:r>
        <w:t>- NOR: JUSX0000106R</w:t>
      </w:r>
    </w:p>
    <w:p w:rsidR="0010420B" w:rsidRDefault="0010420B" w:rsidP="0010420B">
      <w:r>
        <w:lastRenderedPageBreak/>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10420B" w:rsidRDefault="0010420B" w:rsidP="0010420B">
      <w:r>
        <w:rPr>
          <w:b/>
          <w:bCs/>
          <w:color w:val="224466"/>
          <w:sz w:val="17"/>
          <w:szCs w:val="17"/>
        </w:rPr>
        <w:t xml:space="preserve">L. 99 </w:t>
      </w:r>
      <w:r>
        <w:t>Ordonnance n°2000-916 du 19 septembre 2000 - art. 1 (V) JORF 22 septembre 2000 en vigueur le 1er janvier 2002</w:t>
      </w:r>
    </w:p>
    <w:p w:rsidR="0010420B" w:rsidRDefault="0010420B" w:rsidP="0010420B">
      <w:r>
        <w:t>- NOR: JUSX0000106R</w:t>
      </w:r>
    </w:p>
    <w:p w:rsidR="0010420B" w:rsidRDefault="0010420B" w:rsidP="0010420B">
      <w:r>
        <w:t>Toute irruption dans un collège électoral consommée ou tentée avec violence en vue d'empêcher un choix sera punie d'un emprisonnement de cinq ans et d'une amende de 22 500 euros.</w:t>
      </w:r>
    </w:p>
    <w:p w:rsidR="0010420B" w:rsidRDefault="0010420B" w:rsidP="0010420B">
      <w:r>
        <w:rPr>
          <w:b/>
          <w:bCs/>
          <w:color w:val="224466"/>
          <w:sz w:val="17"/>
          <w:szCs w:val="17"/>
        </w:rPr>
        <w:t xml:space="preserve">L. 100 </w:t>
      </w:r>
      <w:r>
        <w:t>Décret 64-1086 1964-10-27 JORF 28 OCTOBRE 1964</w:t>
      </w:r>
    </w:p>
    <w:p w:rsidR="0010420B" w:rsidRDefault="0010420B" w:rsidP="0010420B">
      <w:r>
        <w:t>Si les coupables étaient porteurs d'armes ou si le scrutin a été violé, la peine sera de dix ans d'emprisonnement.</w:t>
      </w:r>
    </w:p>
    <w:p w:rsidR="0010420B" w:rsidRDefault="0010420B" w:rsidP="0010420B">
      <w:r>
        <w:rPr>
          <w:b/>
          <w:bCs/>
          <w:color w:val="224466"/>
          <w:sz w:val="17"/>
          <w:szCs w:val="17"/>
        </w:rPr>
        <w:t xml:space="preserve">L. 101 </w:t>
      </w:r>
      <w:r>
        <w:t>Décret 64-1086 1964-10-27 JORF 28 OCTOBRE 1964</w:t>
      </w:r>
    </w:p>
    <w:p w:rsidR="0010420B" w:rsidRDefault="0010420B" w:rsidP="0010420B">
      <w:r>
        <w:t>Elle sera la réclusion criminelle à temps de vingt ans si le crime a été commis par suite d'un plan concerté pour être exécuté, soit dans toute la République, soit dans un ou plusieurs départements, soit dans un ou plusieurs arrondissements.</w:t>
      </w:r>
    </w:p>
    <w:p w:rsidR="0010420B" w:rsidRDefault="0010420B" w:rsidP="0010420B">
      <w:r>
        <w:rPr>
          <w:b/>
          <w:bCs/>
          <w:color w:val="224466"/>
          <w:sz w:val="17"/>
          <w:szCs w:val="17"/>
        </w:rPr>
        <w:t xml:space="preserve">L. 102 </w:t>
      </w:r>
      <w:r>
        <w:t>Ordonnance n°2000-916 du 19 septembre 2000 - art. 1 (V) JORF 22 septembre 2000 en vigueur le 1er janvier 2002</w:t>
      </w:r>
    </w:p>
    <w:p w:rsidR="0010420B" w:rsidRDefault="0010420B" w:rsidP="0010420B">
      <w:r>
        <w:t>- NOR: JUSX0000106R</w:t>
      </w:r>
    </w:p>
    <w:p w:rsidR="0010420B" w:rsidRDefault="0010420B" w:rsidP="0010420B">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10420B" w:rsidRDefault="0010420B" w:rsidP="0010420B">
      <w:r>
        <w:rPr>
          <w:b/>
          <w:bCs/>
          <w:color w:val="224466"/>
          <w:sz w:val="17"/>
          <w:szCs w:val="17"/>
        </w:rPr>
        <w:t xml:space="preserve">L. 103 </w:t>
      </w:r>
      <w:r>
        <w:t>Ordonnance n°2000-916 du 19 septembre 2000 - art. 1 (V) JORF 22 septembre 2000 en vigueur le 1er janvier 2002</w:t>
      </w:r>
    </w:p>
    <w:p w:rsidR="0010420B" w:rsidRDefault="0010420B" w:rsidP="0010420B">
      <w:r>
        <w:t>- NOR: JUSX0000106R</w:t>
      </w:r>
    </w:p>
    <w:p w:rsidR="0010420B" w:rsidRDefault="0010420B" w:rsidP="0010420B">
      <w:r>
        <w:t>L'enlèvement de l'urne contenant les suffrages émis et non encore dépouillés sera puni d'un emprisonnement de cinq ans, et d'une amende de 22 500 euros.</w:t>
      </w:r>
    </w:p>
    <w:p w:rsidR="0010420B" w:rsidRDefault="0010420B" w:rsidP="0010420B">
      <w:r>
        <w:t>Si cet enlèvement a été effectué en réunion et avec violence, la peine sera de dix ans d'emprisonnement.</w:t>
      </w:r>
    </w:p>
    <w:p w:rsidR="0010420B" w:rsidRDefault="0010420B" w:rsidP="0010420B">
      <w:r>
        <w:rPr>
          <w:b/>
          <w:bCs/>
          <w:color w:val="224466"/>
          <w:sz w:val="17"/>
          <w:szCs w:val="17"/>
        </w:rPr>
        <w:t xml:space="preserve">L. 116 </w:t>
      </w:r>
      <w:r>
        <w:t>Loi n°88-1262 du 30 décembre 1988 - art. 17 - JORF 4 janvier 1989 - NOR: INTX8800142L</w:t>
      </w:r>
    </w:p>
    <w:p w:rsidR="0010420B" w:rsidRDefault="0010420B" w:rsidP="0010420B">
      <w:r>
        <w:t xml:space="preserve">Ceux qui, par des manoeuvres frauduleuses quelconques, accomplies même en dehors des locaux ou commissions visés à l'article </w:t>
      </w:r>
      <w:r>
        <w:rPr>
          <w:i/>
          <w:iCs/>
          <w:color w:val="224466"/>
        </w:rPr>
        <w:t>L. 113</w:t>
      </w:r>
      <w:r>
        <w:t>, auront porté atteinte ou tenté de porter atteinte à la sincérité d'un scrutin, violé ou tenté de violer le secret du vote, empêché ou tenté d'empêcher les opérations du scrutin, ou qui, par les mêmes manoeuvres, en auront changé ou tenté de changer les résultats, seront punis des peines portées audit article.</w:t>
      </w:r>
    </w:p>
    <w:p w:rsidR="0010420B" w:rsidRDefault="0010420B" w:rsidP="0010420B">
      <w:r>
        <w:t xml:space="preserve">Les mêmes peines seront appliquées à tout individu qui aura porté atteinte ou tenté de porter atteinte au fonctionnement d'une machine à voter en vue d'empêcher les opérations du scrutin ou d'en fausser les résultats. </w:t>
      </w:r>
    </w:p>
    <w:p w:rsidR="0010420B" w:rsidRDefault="0010420B" w:rsidP="0010420B">
      <w:r>
        <w:t>Les mêmes peines seront appliquées à toute personne qui aura fait expulser sans motif légitime de la salle de vote un assesseur ou un délégué ou qui l'aura empêché d'exercer ses prérogatives.</w:t>
      </w:r>
    </w:p>
    <w:p w:rsidR="0010420B" w:rsidRDefault="0010420B" w:rsidP="0010420B">
      <w:r>
        <w:rPr>
          <w:b/>
          <w:bCs/>
          <w:color w:val="224466"/>
          <w:sz w:val="17"/>
          <w:szCs w:val="17"/>
        </w:rPr>
        <w:t xml:space="preserve">L. 117 </w:t>
      </w:r>
      <w:r>
        <w:t>LOI n°2013-907 du 11 octobre 2013 - art. 27 - NOR: PRMX1309699L</w:t>
      </w:r>
    </w:p>
    <w:p w:rsidR="0010420B" w:rsidRDefault="0010420B" w:rsidP="0010420B">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10420B" w:rsidRDefault="0010420B" w:rsidP="0010420B">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10420B" w:rsidRDefault="0010420B" w:rsidP="0010420B">
      <w:r>
        <w:lastRenderedPageBreak/>
        <w:t xml:space="preserve">La juridiction peut ordonner l'affichage ou la diffusion de la décision prononcée, dans les conditions prévues par l'article </w:t>
      </w:r>
      <w:r>
        <w:rPr>
          <w:i/>
          <w:iCs/>
          <w:color w:val="224466"/>
        </w:rPr>
        <w:t xml:space="preserve">131-35 </w:t>
      </w:r>
      <w:r>
        <w:t>du code pénal.</w:t>
      </w:r>
    </w:p>
    <w:p w:rsidR="0010420B" w:rsidRDefault="0010420B" w:rsidP="0010420B">
      <w:r>
        <w:rPr>
          <w:b/>
          <w:bCs/>
          <w:color w:val="224466"/>
          <w:sz w:val="17"/>
          <w:szCs w:val="17"/>
        </w:rPr>
        <w:t xml:space="preserve">L. 117-1 </w:t>
      </w:r>
      <w:r>
        <w:t>Loi 75-1329 1975-12-31 art. 12 JORF 3 janvier 1976</w:t>
      </w:r>
    </w:p>
    <w:p w:rsidR="0010420B" w:rsidRDefault="0010420B" w:rsidP="0010420B">
      <w:r>
        <w:t>Lorsque la juridiction administrative a retenu, dans sa décision définitive, des faits de fraude électorale, elle communique le dossier au procureur de la République compétent.</w:t>
      </w:r>
    </w:p>
    <w:p w:rsidR="0010420B" w:rsidRDefault="0010420B" w:rsidP="0010420B">
      <w:r>
        <w:rPr>
          <w:b/>
          <w:bCs/>
          <w:color w:val="224466"/>
          <w:sz w:val="17"/>
          <w:szCs w:val="17"/>
        </w:rPr>
        <w:t xml:space="preserve">L. 117-2 </w:t>
      </w:r>
      <w:r>
        <w:t>LOI n°2016-508 du 25 avril 2016 - art. 5 - NOR: INTX1527491L</w:t>
      </w:r>
    </w:p>
    <w:p w:rsidR="0010420B" w:rsidRDefault="0010420B" w:rsidP="0010420B">
      <w:r>
        <w:t>Le présent chapitre est applicable au vote par machine à voter et au vote par correspondance électronique.</w:t>
      </w:r>
    </w:p>
    <w:p w:rsidR="0010420B" w:rsidRPr="007D6CB7" w:rsidRDefault="0010420B" w:rsidP="0010420B">
      <w:pPr>
        <w:rPr>
          <w:rFonts w:ascii="Cambria" w:hAnsi="Cambria"/>
          <w:b/>
          <w:bCs/>
          <w:color w:val="365F91"/>
          <w:sz w:val="22"/>
          <w:szCs w:val="28"/>
        </w:rPr>
      </w:pPr>
    </w:p>
    <w:p w:rsidR="0010420B" w:rsidRDefault="0010420B" w:rsidP="0010420B">
      <w:pPr>
        <w:pStyle w:val="Titre1"/>
        <w:rPr>
          <w:sz w:val="17"/>
          <w:szCs w:val="17"/>
        </w:rPr>
      </w:pPr>
      <w:bookmarkStart w:id="44" w:name="_Toc462401505"/>
      <w:bookmarkStart w:id="45" w:name="_Toc33527366"/>
      <w:bookmarkStart w:id="46" w:name="_Toc33528191"/>
      <w:r>
        <w:t>Titre II : Dispositions spéciales à l'élection des députés</w:t>
      </w:r>
      <w:bookmarkEnd w:id="44"/>
      <w:bookmarkEnd w:id="45"/>
      <w:bookmarkEnd w:id="46"/>
    </w:p>
    <w:p w:rsidR="0010420B" w:rsidRDefault="0010420B" w:rsidP="0010420B">
      <w:pPr>
        <w:pStyle w:val="Titre2"/>
      </w:pPr>
      <w:bookmarkStart w:id="47" w:name="_Toc462401506"/>
      <w:r>
        <w:t>Chapitre VI : Propagande</w:t>
      </w:r>
      <w:bookmarkEnd w:id="47"/>
    </w:p>
    <w:p w:rsidR="0010420B" w:rsidRDefault="0010420B" w:rsidP="0010420B">
      <w:r>
        <w:rPr>
          <w:b/>
          <w:bCs/>
          <w:color w:val="224466"/>
          <w:sz w:val="17"/>
          <w:szCs w:val="17"/>
        </w:rPr>
        <w:t xml:space="preserve">L. 164 </w:t>
      </w:r>
      <w:r>
        <w:t>Décret 64-1086 1964-10-27 JORF 28 OCTOBRE 1964</w:t>
      </w:r>
    </w:p>
    <w:p w:rsidR="0010420B" w:rsidRDefault="0010420B" w:rsidP="0010420B">
      <w:r>
        <w:t>La campagne électorale est ouverte à partir du vingtième jour qui précède la date du scrutin.</w:t>
      </w:r>
    </w:p>
    <w:p w:rsidR="0010420B" w:rsidRDefault="0010420B" w:rsidP="0010420B">
      <w:r>
        <w:t xml:space="preserve">Les dispositions de l'article </w:t>
      </w:r>
      <w:r>
        <w:rPr>
          <w:i/>
          <w:iCs/>
          <w:color w:val="224466"/>
        </w:rPr>
        <w:t xml:space="preserve">L. 51 </w:t>
      </w:r>
      <w:r>
        <w:t>sont applicables à partir du même jour.</w:t>
      </w:r>
    </w:p>
    <w:p w:rsidR="0010420B" w:rsidRDefault="0010420B" w:rsidP="0010420B">
      <w:r>
        <w:rPr>
          <w:b/>
          <w:bCs/>
          <w:color w:val="224466"/>
          <w:sz w:val="17"/>
          <w:szCs w:val="17"/>
        </w:rPr>
        <w:t xml:space="preserve">L. 165 </w:t>
      </w:r>
      <w:r>
        <w:t>LOI n°2011-412 du 14 avril 2011 - art. 7 - NOR: IOCX1101461L</w:t>
      </w:r>
    </w:p>
    <w:p w:rsidR="0010420B" w:rsidRDefault="0010420B" w:rsidP="0010420B">
      <w:r>
        <w:t xml:space="preserve">Un décret en Conseil d'Etat fixe le nombre et les dimensions des affiches que chaque candidat peut faire apposer sur les emplacements et panneaux d'affichage visés à l'article </w:t>
      </w:r>
      <w:r>
        <w:rPr>
          <w:i/>
          <w:iCs/>
          <w:color w:val="224466"/>
        </w:rPr>
        <w:t xml:space="preserve">L. 51 </w:t>
      </w:r>
      <w:r>
        <w:t>ainsi que le nombre et les dimensions des circulaires et bulletins de vote qu'il peut faire imprimer et envoyer aux électeurs.</w:t>
      </w:r>
    </w:p>
    <w:p w:rsidR="0010420B" w:rsidRDefault="0010420B" w:rsidP="0010420B">
      <w:r>
        <w:t xml:space="preserve">Sous réserve des dispositions de l'article </w:t>
      </w:r>
      <w:r>
        <w:rPr>
          <w:i/>
          <w:iCs/>
          <w:color w:val="224466"/>
        </w:rPr>
        <w:t xml:space="preserve">L. 163 </w:t>
      </w:r>
      <w:r>
        <w:t>le bulletin de vote doit comporter le nom du candidat et celui du remplaçant.</w:t>
      </w:r>
    </w:p>
    <w:p w:rsidR="0010420B" w:rsidRPr="008F24AF" w:rsidRDefault="0010420B" w:rsidP="0010420B">
      <w:r w:rsidRPr="008F24AF">
        <w:t>L'impression et l'utilisation, sous quelque forme que ce soit, de tout autre circulaire, affiche ou bulletin sont interdites.</w:t>
      </w:r>
    </w:p>
    <w:p w:rsidR="0010420B" w:rsidRDefault="0010420B" w:rsidP="0010420B">
      <w:r>
        <w:rPr>
          <w:b/>
          <w:bCs/>
          <w:color w:val="224466"/>
          <w:sz w:val="17"/>
          <w:szCs w:val="17"/>
        </w:rPr>
        <w:t xml:space="preserve">L. 166 </w:t>
      </w:r>
      <w:r>
        <w:t>Loi n°86-825 du 11 juillet 1986 - art. 1 - JORF 12 juillet 1986</w:t>
      </w:r>
    </w:p>
    <w:p w:rsidR="0010420B" w:rsidRDefault="0010420B" w:rsidP="0010420B">
      <w:r>
        <w:t>Vingt jours avant la date des élections, il est institué pour chaque circonscription une commission chargée d'assurer l'envoi et la distribution de tous les documents de propagande électorale.</w:t>
      </w:r>
    </w:p>
    <w:p w:rsidR="0010420B" w:rsidRDefault="0010420B" w:rsidP="0010420B">
      <w:r>
        <w:t>La composition et les conditions de fonctionnement de cette commission sont fixées par un décret en Conseil d'Etat.</w:t>
      </w:r>
    </w:p>
    <w:p w:rsidR="0010420B" w:rsidRDefault="0010420B" w:rsidP="0010420B">
      <w:r>
        <w:t>Les candidats désignent un mandataire qui participe aux travaux de cette commission avec voix consultative.</w:t>
      </w:r>
    </w:p>
    <w:p w:rsidR="0010420B" w:rsidRDefault="0010420B" w:rsidP="0010420B">
      <w:r>
        <w:rPr>
          <w:b/>
          <w:bCs/>
          <w:color w:val="224466"/>
          <w:sz w:val="17"/>
          <w:szCs w:val="17"/>
        </w:rPr>
        <w:t xml:space="preserve">L. 167 </w:t>
      </w:r>
      <w:r>
        <w:t>Loi n°95-65 du 19 janvier 1995 - art. 11 - - NOR: INTX9400550L</w:t>
      </w:r>
    </w:p>
    <w:p w:rsidR="0010420B" w:rsidRDefault="0010420B" w:rsidP="0010420B">
      <w:r>
        <w:t xml:space="preserve">L'Etat prend à sa charge les dépenses provenant des opérations effectuées par les commissions instituées par l'article </w:t>
      </w:r>
      <w:r>
        <w:rPr>
          <w:i/>
          <w:iCs/>
          <w:color w:val="224466"/>
        </w:rPr>
        <w:t xml:space="preserve">L. 166 </w:t>
      </w:r>
      <w:r>
        <w:t>ainsi que celles qui résultent de leur fonctionnement.</w:t>
      </w:r>
    </w:p>
    <w:p w:rsidR="0010420B" w:rsidRDefault="0010420B" w:rsidP="0010420B">
      <w:r>
        <w:t>En outre, il est remboursé aux candidats ayant obtenu au moins 5 % des suffrages exprimés le coût du papier, l'impression des bulletins de vote, affiches, circulaires ainsi que les frais d'affichage.</w:t>
      </w:r>
    </w:p>
    <w:p w:rsidR="0010420B" w:rsidRDefault="0010420B" w:rsidP="0010420B">
      <w:r>
        <w:rPr>
          <w:b/>
          <w:bCs/>
          <w:color w:val="224466"/>
          <w:sz w:val="17"/>
          <w:szCs w:val="17"/>
        </w:rPr>
        <w:t xml:space="preserve">L. 167-1 </w:t>
      </w:r>
      <w:r>
        <w:t>Ordonnance n°2003-1165 du 8 décembre 2003 - art. 16 - JORF 9 décembre 2003 - NOR: INTX0300161R</w:t>
      </w:r>
    </w:p>
    <w:p w:rsidR="0010420B" w:rsidRDefault="0010420B" w:rsidP="0010420B">
      <w:r>
        <w:t>I. - Les partis et groupements peuvent utiliser les antennes du service public de radiodiffusion et de télévision pour leur campagne en vue des élections législatives. Chaque émission est diffusée par les sociétés nationales de télévision et de radiodiffusion sonore.</w:t>
      </w:r>
    </w:p>
    <w:p w:rsidR="0010420B" w:rsidRDefault="0010420B" w:rsidP="0010420B">
      <w:r>
        <w:t>II. - Pour le premier tour de scrutin, une durée d'émission de trois heures est mise à la disposition des partis et groupements représentés par des groupes parlementaires de l'Assemblée nationale.</w:t>
      </w:r>
    </w:p>
    <w:p w:rsidR="0010420B" w:rsidRDefault="0010420B" w:rsidP="0010420B">
      <w:r>
        <w:t>Cette durée est divisée en deux séries égales, l'une étant affectée aux groupes qui appartiennent à la majorité, l'autre à ceux qui ne lui appartiennent pas.</w:t>
      </w:r>
    </w:p>
    <w:p w:rsidR="0010420B" w:rsidRDefault="0010420B" w:rsidP="0010420B">
      <w:r>
        <w:t>Le temps attribué à chaque groupement ou parti dans le cadre de chacune de ces séries d'émissions est déterminé par accord entre les présidents des groupes intéressés. A défaut d'accord amiable, la répartition est fixée par les membres composant le bureau de l'Assemblée nationale sortante, en tenant compte notamment de l'importance respective de ces groupes ; pour cette délibération, le bureau est complété par les présidents de groupe.</w:t>
      </w:r>
    </w:p>
    <w:p w:rsidR="0010420B" w:rsidRDefault="0010420B" w:rsidP="0010420B">
      <w:r>
        <w:t>Les émissions précédant le deuxième tour de scrutin ont une durée d'une heure trente : elles sont réparties entre les mêmes partis et groupements et selon les mêmes proportions.</w:t>
      </w:r>
    </w:p>
    <w:p w:rsidR="0010420B" w:rsidRDefault="0010420B" w:rsidP="0010420B">
      <w:r>
        <w:lastRenderedPageBreak/>
        <w:t>III. - Tout parti ou groupement politique qui n'est pas représenté par des groupes parlementaires de l'Assemblée nationale a accès, à sa demande, aux émissions du service public de la communication audiovisuelle pour une durée de sept minutes au premier tour et de cinq minutes au second, dès lors qu'au moins soixante-quinze candidats ont indiqué, dans leur déclaration de candidature, s'y rattacher pour l'application de la procédure prévue par le deuxième alinéa de l'article 9 de la loi n°</w:t>
      </w:r>
      <w:r>
        <w:rPr>
          <w:i/>
          <w:iCs/>
          <w:color w:val="224466"/>
        </w:rPr>
        <w:t xml:space="preserve">88-277 </w:t>
      </w:r>
      <w:r>
        <w:t>du 11 mars 1988 relative à la transparence financière de la vie politique.</w:t>
      </w:r>
    </w:p>
    <w:p w:rsidR="0010420B" w:rsidRDefault="0010420B" w:rsidP="0010420B">
      <w:r>
        <w:t>L'habilitation est donnée à ces partis ou groupements dans des conditions qui seront fixées par décret.</w:t>
      </w:r>
    </w:p>
    <w:p w:rsidR="0010420B" w:rsidRDefault="0010420B" w:rsidP="0010420B">
      <w:r>
        <w:t>IV. - Les conditions de productions, de programmation et de diffusion des émissions sont fixés, après consultation des conseils d'administration des sociétés nationales de télévision et de radiodiffusion, par le conseil supérieur de l'audiovisuel.</w:t>
      </w:r>
    </w:p>
    <w:p w:rsidR="0010420B" w:rsidRDefault="0010420B" w:rsidP="0010420B">
      <w:r>
        <w:t>V. - En ce qui concerne les émissions destinées à être reçues hors métropole, le conseil supérieur de l'audiovisuel tient compte des délais d'acheminement et des différences d'heures.</w:t>
      </w:r>
    </w:p>
    <w:p w:rsidR="0010420B" w:rsidRDefault="0010420B" w:rsidP="0010420B">
      <w:r>
        <w:rPr>
          <w:b/>
          <w:bCs/>
          <w:color w:val="224466"/>
          <w:sz w:val="17"/>
          <w:szCs w:val="17"/>
        </w:rPr>
        <w:t xml:space="preserve">L. 168 </w:t>
      </w:r>
      <w:r>
        <w:t>Ordonnance n°2000-916 du 19 septembre 2000 - art. 1 (V) JORF 22 septembre 2000 en vigueur le 1er janvier 2002</w:t>
      </w:r>
    </w:p>
    <w:p w:rsidR="0010420B" w:rsidRDefault="0010420B" w:rsidP="0010420B">
      <w:r>
        <w:t>- NOR: JUSX0000106R</w:t>
      </w:r>
    </w:p>
    <w:p w:rsidR="0010420B" w:rsidRDefault="0010420B" w:rsidP="0010420B">
      <w:r>
        <w:t xml:space="preserve">Sera puni d'une amende de 3 750 euros et d'un emprisonnement de trois mois ou de l'une de ces deux peines seulement quiconque aura enfreint les dispositions des articles L. 158, alinéas 2 et 3, et </w:t>
      </w:r>
      <w:r>
        <w:rPr>
          <w:i/>
          <w:iCs/>
          <w:color w:val="224466"/>
        </w:rPr>
        <w:t xml:space="preserve">L. 164 </w:t>
      </w:r>
      <w:r>
        <w:t xml:space="preserve">à </w:t>
      </w:r>
      <w:r>
        <w:rPr>
          <w:i/>
          <w:iCs/>
          <w:color w:val="224466"/>
        </w:rPr>
        <w:t>L. 167</w:t>
      </w:r>
      <w:r>
        <w:t>.</w:t>
      </w:r>
    </w:p>
    <w:p w:rsidR="0010420B" w:rsidRDefault="0010420B" w:rsidP="0010420B">
      <w:r>
        <w:rPr>
          <w:b/>
          <w:bCs/>
          <w:color w:val="224466"/>
          <w:sz w:val="17"/>
          <w:szCs w:val="17"/>
        </w:rPr>
        <w:t xml:space="preserve">L. 169 </w:t>
      </w:r>
      <w:r>
        <w:t>Décret 64-1086 1964-10-27 JORF 28 OCTOBRE 1964</w:t>
      </w:r>
    </w:p>
    <w:p w:rsidR="0010420B" w:rsidRDefault="0010420B" w:rsidP="0010420B">
      <w:r>
        <w:t xml:space="preserve">Il est interdit de signer ou d'apposer des affiches, d'envoyer et de distribuer des bulletins, circulaires ou professions de foi dans l'intérêt d'un candidat qui ne s'est pas conformé aux prescriptions de l'alinéa 1 de l'article </w:t>
      </w:r>
      <w:r>
        <w:rPr>
          <w:i/>
          <w:iCs/>
          <w:color w:val="224466"/>
        </w:rPr>
        <w:t>L. 156</w:t>
      </w:r>
      <w:r>
        <w:t>.</w:t>
      </w:r>
    </w:p>
    <w:p w:rsidR="0010420B" w:rsidRDefault="0010420B" w:rsidP="0010420B">
      <w:r>
        <w:rPr>
          <w:b/>
          <w:bCs/>
          <w:color w:val="224466"/>
          <w:sz w:val="17"/>
          <w:szCs w:val="17"/>
        </w:rPr>
        <w:t xml:space="preserve">L. 170 </w:t>
      </w:r>
      <w:r>
        <w:t>Décret 64-1086 1964-10-27 JORF 28 OCTOBRE 1964</w:t>
      </w:r>
    </w:p>
    <w:p w:rsidR="0010420B" w:rsidRDefault="0010420B" w:rsidP="0010420B">
      <w:r>
        <w:t xml:space="preserve">Les affiches, placards, professions de foi, bulletins de vote apposés ou distribués pour appuyer une candidature dans une circonscription où elle ne peut être produite contrairement aux dispositions de l'alinéa 1 de l'article </w:t>
      </w:r>
      <w:r>
        <w:rPr>
          <w:i/>
          <w:iCs/>
          <w:color w:val="224466"/>
        </w:rPr>
        <w:t xml:space="preserve">L. 156 </w:t>
      </w:r>
      <w:r>
        <w:t>seront enlevés ou saisis.</w:t>
      </w:r>
    </w:p>
    <w:p w:rsidR="0010420B" w:rsidRDefault="0010420B" w:rsidP="0010420B">
      <w:r>
        <w:rPr>
          <w:b/>
          <w:bCs/>
          <w:color w:val="224466"/>
          <w:sz w:val="17"/>
          <w:szCs w:val="17"/>
        </w:rPr>
        <w:t xml:space="preserve">L. 171 </w:t>
      </w:r>
      <w:r>
        <w:t>Ordonnance n°2000-916 du 19 septembre 2000 - art. 1 (V) JORF 22 septembre 2000 en vigueur le 1er janvier 2002</w:t>
      </w:r>
    </w:p>
    <w:p w:rsidR="0010420B" w:rsidRDefault="0010420B" w:rsidP="0010420B">
      <w:r>
        <w:t>- NOR: JUSX0000106R</w:t>
      </w:r>
    </w:p>
    <w:p w:rsidR="0010420B" w:rsidRDefault="0010420B" w:rsidP="0010420B">
      <w:r>
        <w:t xml:space="preserve">Seront punis d'une amende de 9 000 euros, le candidat contrevenant aux dispositions du premier alinéa de l'article </w:t>
      </w:r>
      <w:r>
        <w:rPr>
          <w:i/>
          <w:iCs/>
          <w:color w:val="224466"/>
        </w:rPr>
        <w:t>L. 156</w:t>
      </w:r>
      <w:r>
        <w:t xml:space="preserve">, et d'une amende de 4 500 euros toute personne qui agira en violation de l'article </w:t>
      </w:r>
      <w:r>
        <w:rPr>
          <w:i/>
          <w:iCs/>
          <w:color w:val="224466"/>
        </w:rPr>
        <w:t>L. 169</w:t>
      </w:r>
      <w:r>
        <w:t>.</w:t>
      </w:r>
    </w:p>
    <w:p w:rsidR="0010420B" w:rsidRDefault="0010420B" w:rsidP="0010420B"/>
    <w:p w:rsidR="0010420B" w:rsidRDefault="0010420B" w:rsidP="0010420B">
      <w:pPr>
        <w:pStyle w:val="Titre1"/>
      </w:pPr>
      <w:bookmarkStart w:id="48" w:name="_Toc462401507"/>
      <w:bookmarkStart w:id="49" w:name="_Toc33527367"/>
      <w:bookmarkStart w:id="50" w:name="_Toc33528192"/>
      <w:r>
        <w:t>Titre III : Dispositions spéciales à l'élection des conseillers départementaux</w:t>
      </w:r>
      <w:bookmarkEnd w:id="48"/>
      <w:bookmarkEnd w:id="49"/>
      <w:bookmarkEnd w:id="50"/>
    </w:p>
    <w:p w:rsidR="0010420B" w:rsidRDefault="0010420B" w:rsidP="0010420B">
      <w:pPr>
        <w:pStyle w:val="Titre2"/>
      </w:pPr>
      <w:bookmarkStart w:id="51" w:name="_Toc462401508"/>
      <w:r>
        <w:t>Chapitre V : Propagande</w:t>
      </w:r>
      <w:bookmarkEnd w:id="51"/>
    </w:p>
    <w:p w:rsidR="0010420B" w:rsidRDefault="0010420B" w:rsidP="0010420B">
      <w:r>
        <w:rPr>
          <w:b/>
          <w:bCs/>
          <w:color w:val="224466"/>
          <w:sz w:val="17"/>
          <w:szCs w:val="17"/>
        </w:rPr>
        <w:t xml:space="preserve">L. 211 </w:t>
      </w:r>
      <w:r>
        <w:t>LOI n°2011-412 du 14 avril 2011 - art. 7 - NOR: IOCX1101461L</w:t>
      </w:r>
    </w:p>
    <w:p w:rsidR="0010420B" w:rsidRDefault="0010420B" w:rsidP="0010420B">
      <w:r>
        <w:t>L'impression et l'utilisation, sous quelque forme que ce soit, de circulaires, affiches et bulletins de vote pour la propagande électorale, en dehors des conditions fixées par les dispositions en vigueur, sont interdites.</w:t>
      </w:r>
    </w:p>
    <w:p w:rsidR="0010420B" w:rsidRDefault="0010420B" w:rsidP="0010420B">
      <w:r>
        <w:rPr>
          <w:b/>
          <w:bCs/>
          <w:color w:val="224466"/>
          <w:sz w:val="17"/>
          <w:szCs w:val="17"/>
        </w:rPr>
        <w:t xml:space="preserve">L. 212 </w:t>
      </w:r>
      <w:r>
        <w:t>LOI n°2013-403 du 17 mai 2013 - art. 19 - NOR: INTX1238496L</w:t>
      </w:r>
    </w:p>
    <w:p w:rsidR="0010420B" w:rsidRDefault="0010420B" w:rsidP="0010420B">
      <w:r>
        <w:t xml:space="preserve">Dans les circonscriptions électorales, des commissions, dans lesquelles sont obligatoirement représentés les binômes de candidats remplissant les conditions exigées pour bénéficier des moyens de propagande et dont la composition et le fonctionnement sont fixés par le décret en Conseil d'Etat prévu à l'article </w:t>
      </w:r>
      <w:r>
        <w:rPr>
          <w:i/>
          <w:iCs/>
          <w:color w:val="224466"/>
        </w:rPr>
        <w:t>L. 217</w:t>
      </w:r>
      <w:r>
        <w:t>, sont chargées d'assurer l'envoi et la distribution des documents de propagande électorale.</w:t>
      </w:r>
    </w:p>
    <w:p w:rsidR="0010420B" w:rsidRDefault="0010420B" w:rsidP="0010420B">
      <w:r>
        <w:rPr>
          <w:b/>
          <w:bCs/>
          <w:color w:val="224466"/>
          <w:sz w:val="17"/>
          <w:szCs w:val="17"/>
        </w:rPr>
        <w:t xml:space="preserve">L. 215 </w:t>
      </w:r>
      <w:r>
        <w:t>Ordonnance n°2000-916 du 19 septembre 2000 - art. 1 (V) JORF 22 septembre 2000 en vigueur le 1er janvier 2002</w:t>
      </w:r>
    </w:p>
    <w:p w:rsidR="0010420B" w:rsidRDefault="0010420B" w:rsidP="0010420B">
      <w:r>
        <w:t>- NOR: JUSX0000106R</w:t>
      </w:r>
    </w:p>
    <w:p w:rsidR="0010420B" w:rsidRDefault="0010420B" w:rsidP="0010420B">
      <w:r>
        <w:t>Sera puni d'une amende de 3 750 euros et d'un emprisonnement d'un an, ou de l'une de ces deux peines seulement :</w:t>
      </w:r>
    </w:p>
    <w:p w:rsidR="0010420B" w:rsidRDefault="0010420B" w:rsidP="0010420B">
      <w:r>
        <w:t xml:space="preserve">1° Quiconque enfreindra les dispositions de l'article </w:t>
      </w:r>
      <w:r>
        <w:rPr>
          <w:i/>
          <w:iCs/>
          <w:color w:val="224466"/>
        </w:rPr>
        <w:t xml:space="preserve">L. 211 </w:t>
      </w:r>
      <w:r>
        <w:t>;</w:t>
      </w:r>
    </w:p>
    <w:p w:rsidR="0010420B" w:rsidRDefault="0010420B" w:rsidP="0010420B">
      <w:r>
        <w:lastRenderedPageBreak/>
        <w:t>2° Quiconque se servira de la franchise pour adresser aux électeurs tous autres documents que ceux envoyés par les commissions de propagande.</w:t>
      </w:r>
    </w:p>
    <w:p w:rsidR="0010420B" w:rsidRDefault="0010420B" w:rsidP="0010420B">
      <w:r>
        <w:rPr>
          <w:b/>
          <w:bCs/>
          <w:color w:val="224466"/>
          <w:sz w:val="17"/>
          <w:szCs w:val="17"/>
        </w:rPr>
        <w:t xml:space="preserve">L. 216 </w:t>
      </w:r>
      <w:r>
        <w:t>LOI n°2013-403 du 17 mai 2013 - art. 19 - NOR: INTX1238496L</w:t>
      </w:r>
    </w:p>
    <w:p w:rsidR="0010420B" w:rsidRDefault="0010420B" w:rsidP="0010420B">
      <w:r>
        <w:t xml:space="preserve">L'Etat prend à sa charge les dépenses provenant des opérations effectuées par les commissions instituées à l'article </w:t>
      </w:r>
      <w:r>
        <w:rPr>
          <w:i/>
          <w:iCs/>
          <w:color w:val="224466"/>
        </w:rPr>
        <w:t>L. 212</w:t>
      </w:r>
      <w:r>
        <w:t>, celles qui résultent de leur fonctionnement, ainsi que le coût du papier, l'impression des bulletins de vote, circulaires et affiches et les frais d'affichage, pour les binômes de candidats ayant satisfait aux obligations de l'article L. 213 et ayant obtenu au moins 5 % des suffrages exprimés à l'un des deux tours de scrutin.</w:t>
      </w:r>
    </w:p>
    <w:p w:rsidR="0010420B" w:rsidRDefault="0010420B" w:rsidP="0010420B">
      <w:r>
        <w:rPr>
          <w:b/>
          <w:bCs/>
          <w:color w:val="224466"/>
          <w:sz w:val="17"/>
          <w:szCs w:val="17"/>
        </w:rPr>
        <w:t xml:space="preserve">L. 217 </w:t>
      </w:r>
      <w:r>
        <w:t>Décret 64-1086 1964-10-27 JORF 28 OCTOBRE 1964</w:t>
      </w:r>
    </w:p>
    <w:p w:rsidR="0010420B" w:rsidRDefault="0010420B" w:rsidP="0010420B">
      <w:r>
        <w:t>Un décret en Conseil d'Etat détermine les conditions d'application des articles du présent chapitre.</w:t>
      </w:r>
    </w:p>
    <w:p w:rsidR="0010420B" w:rsidRDefault="0010420B" w:rsidP="0010420B"/>
    <w:p w:rsidR="0010420B" w:rsidRDefault="0010420B" w:rsidP="0010420B">
      <w:pPr>
        <w:pStyle w:val="Titre1"/>
      </w:pPr>
      <w:bookmarkStart w:id="52" w:name="_Toc462401509"/>
      <w:bookmarkStart w:id="53" w:name="_Toc33527368"/>
      <w:bookmarkStart w:id="54" w:name="_Toc33528193"/>
      <w:r>
        <w:t>Titre IV : Dispositions spéciales à l'élection des conseillers municipaux et des membres du Conseil de Paris</w:t>
      </w:r>
      <w:bookmarkEnd w:id="52"/>
      <w:bookmarkEnd w:id="53"/>
      <w:bookmarkEnd w:id="54"/>
    </w:p>
    <w:p w:rsidR="0010420B" w:rsidRDefault="0010420B" w:rsidP="0010420B">
      <w:pPr>
        <w:pStyle w:val="Titre2"/>
      </w:pPr>
      <w:bookmarkStart w:id="55" w:name="_Toc462401510"/>
      <w:r>
        <w:t>Section 4 : Propagande</w:t>
      </w:r>
      <w:bookmarkEnd w:id="55"/>
    </w:p>
    <w:p w:rsidR="0010420B" w:rsidRDefault="0010420B" w:rsidP="0010420B">
      <w:r>
        <w:rPr>
          <w:b/>
          <w:bCs/>
          <w:color w:val="224466"/>
          <w:sz w:val="17"/>
          <w:szCs w:val="17"/>
        </w:rPr>
        <w:t xml:space="preserve">L. 240 </w:t>
      </w:r>
      <w:r>
        <w:t>LOI n°2011-412 du 14 avril 2011 - art. 7 - NOR: IOCX1101461L</w:t>
      </w:r>
    </w:p>
    <w:p w:rsidR="0010420B" w:rsidRDefault="0010420B" w:rsidP="0010420B">
      <w:r>
        <w:t xml:space="preserve">L'impression et l'utilisation, sous quelque forme que ce soit, de circulaires, affiches et bulletins de vote pour la propagande électorale en dehors des conditions fixées par les dispositions en vigueur sont interdites. </w:t>
      </w:r>
    </w:p>
    <w:p w:rsidR="0010420B" w:rsidRDefault="0010420B" w:rsidP="0010420B">
      <w:r>
        <w:rPr>
          <w:b/>
          <w:bCs/>
          <w:color w:val="224466"/>
          <w:sz w:val="17"/>
          <w:szCs w:val="17"/>
        </w:rPr>
        <w:t xml:space="preserve">L. 241 </w:t>
      </w:r>
      <w:r>
        <w:t>Décret 64-1086 1964-10-27 JORF 28 OCTOBRE 1964</w:t>
      </w:r>
    </w:p>
    <w:p w:rsidR="0010420B" w:rsidRDefault="0010420B" w:rsidP="0010420B">
      <w:r>
        <w:t>Des commissions, dont la composition et le fonctionnement sont fixés par décret, sont chargées, pour les communes de 2 500 habitants et plus, d'assurer l'envoi et la distribution des documents de propagande électorale.</w:t>
      </w:r>
    </w:p>
    <w:p w:rsidR="0010420B" w:rsidRDefault="0010420B" w:rsidP="0010420B">
      <w:r>
        <w:rPr>
          <w:b/>
          <w:bCs/>
          <w:color w:val="224466"/>
          <w:sz w:val="17"/>
          <w:szCs w:val="17"/>
        </w:rPr>
        <w:t xml:space="preserve">L. 242 </w:t>
      </w:r>
      <w:r>
        <w:t>Loi n°88-1262 du 30 décembre 1988 - art. 29 - JORF 4 janvier 1989 - NOR: INTX8800142L</w:t>
      </w:r>
    </w:p>
    <w:p w:rsidR="0010420B" w:rsidRDefault="0010420B" w:rsidP="0010420B">
      <w:r>
        <w:t xml:space="preserve">L'Etat prend à sa charge les dépenses provenant des opérations effectuées par les commissions instituées par l'article </w:t>
      </w:r>
      <w:r>
        <w:rPr>
          <w:i/>
          <w:iCs/>
          <w:color w:val="224466"/>
        </w:rPr>
        <w:t>L. 241</w:t>
      </w:r>
      <w:r>
        <w:t>, ainsi que celles qui résultent de leur fonctionnement.</w:t>
      </w:r>
    </w:p>
    <w:p w:rsidR="0010420B" w:rsidRDefault="0010420B" w:rsidP="0010420B">
      <w:r>
        <w:t>Dans les communes visées aux chapitres III et IV du présent titre, il est remboursé aux candidats le coût du papier, l'impression des bulletins de vote, affiches et circulaires, ainsi que les frais d'affichage.</w:t>
      </w:r>
    </w:p>
    <w:p w:rsidR="0010420B" w:rsidRDefault="0010420B" w:rsidP="0010420B">
      <w:r>
        <w:rPr>
          <w:b/>
          <w:bCs/>
          <w:color w:val="224466"/>
          <w:sz w:val="17"/>
          <w:szCs w:val="17"/>
        </w:rPr>
        <w:t xml:space="preserve">L. 243 </w:t>
      </w:r>
      <w:r>
        <w:t>Décret 64-1086 1964-10-27 JORF 28 OCTOBRE 1964</w:t>
      </w:r>
    </w:p>
    <w:p w:rsidR="0010420B" w:rsidRDefault="0010420B" w:rsidP="0010420B">
      <w:r>
        <w:t xml:space="preserve">Les dépenses visées à l'article </w:t>
      </w:r>
      <w:r>
        <w:rPr>
          <w:i/>
          <w:iCs/>
          <w:color w:val="224466"/>
        </w:rPr>
        <w:t xml:space="preserve">L. 242 </w:t>
      </w:r>
      <w:r>
        <w:t>ne sont remboursées qu'aux listes et aux candidats isolés remplissant les conditions exigées pour bénéficier des moyens de propagande et qui ont obtenu au moins 5 % des suffrages exprimés.</w:t>
      </w:r>
    </w:p>
    <w:p w:rsidR="0010420B" w:rsidRDefault="0010420B" w:rsidP="0010420B">
      <w:r>
        <w:rPr>
          <w:b/>
          <w:bCs/>
          <w:color w:val="224466"/>
          <w:sz w:val="17"/>
          <w:szCs w:val="17"/>
        </w:rPr>
        <w:t xml:space="preserve">L. 246 </w:t>
      </w:r>
      <w:r>
        <w:t>Ordonnance n°2000-916 du 19 septembre 2000 - art. 1 (V) JORF 22 septembre 2000 en vigueur le 1er janvier 2002</w:t>
      </w:r>
    </w:p>
    <w:p w:rsidR="0010420B" w:rsidRDefault="0010420B" w:rsidP="0010420B">
      <w:r>
        <w:t>- NOR: JUSX0000106R</w:t>
      </w:r>
    </w:p>
    <w:p w:rsidR="0010420B" w:rsidRDefault="0010420B" w:rsidP="0010420B">
      <w:r>
        <w:t xml:space="preserve">Sera puni d'une amende de 3 750 euros et d'un emprisonnement de six mois, ou de l'une de ces deux peines seulement, quiconque enfreindra les dispositions de l'article </w:t>
      </w:r>
      <w:r>
        <w:rPr>
          <w:i/>
          <w:iCs/>
          <w:color w:val="224466"/>
        </w:rPr>
        <w:t>L. 240</w:t>
      </w:r>
      <w:r>
        <w:t>.</w:t>
      </w:r>
    </w:p>
    <w:p w:rsidR="0010420B" w:rsidRDefault="0010420B" w:rsidP="0010420B"/>
    <w:p w:rsidR="0010420B" w:rsidRDefault="0010420B" w:rsidP="0010420B"/>
    <w:p w:rsidR="0010420B" w:rsidRDefault="0010420B" w:rsidP="0010420B">
      <w:pPr>
        <w:pStyle w:val="Titre1"/>
      </w:pPr>
      <w:bookmarkStart w:id="56" w:name="_Toc462401511"/>
      <w:r>
        <w:rPr>
          <w:sz w:val="36"/>
        </w:rPr>
        <w:br w:type="page"/>
      </w:r>
      <w:bookmarkStart w:id="57" w:name="_Toc33527369"/>
      <w:bookmarkStart w:id="58" w:name="_Toc33528194"/>
      <w:r w:rsidRPr="00A87879">
        <w:rPr>
          <w:sz w:val="36"/>
        </w:rPr>
        <w:lastRenderedPageBreak/>
        <w:t>Livre 2</w:t>
      </w:r>
      <w:r w:rsidRPr="00A87879">
        <w:rPr>
          <w:sz w:val="18"/>
          <w:szCs w:val="17"/>
        </w:rPr>
        <w:t xml:space="preserve"> </w:t>
      </w:r>
      <w:r>
        <w:t>Titre IV : Election des sénateurs</w:t>
      </w:r>
      <w:bookmarkEnd w:id="56"/>
      <w:bookmarkEnd w:id="57"/>
      <w:bookmarkEnd w:id="58"/>
    </w:p>
    <w:p w:rsidR="0010420B" w:rsidRDefault="0010420B" w:rsidP="0010420B">
      <w:pPr>
        <w:pStyle w:val="Titre2"/>
      </w:pPr>
      <w:bookmarkStart w:id="59" w:name="_Toc462401512"/>
      <w:r>
        <w:t>Chapitre V : Propagande</w:t>
      </w:r>
      <w:bookmarkEnd w:id="59"/>
    </w:p>
    <w:p w:rsidR="0010420B" w:rsidRDefault="0010420B" w:rsidP="0010420B">
      <w:r>
        <w:rPr>
          <w:b/>
          <w:bCs/>
          <w:color w:val="224466"/>
          <w:sz w:val="17"/>
          <w:szCs w:val="17"/>
        </w:rPr>
        <w:t xml:space="preserve">L. 307 </w:t>
      </w:r>
      <w:r>
        <w:t>Décret 64-1086 1964-10-27 JORF 28 OCTOBRE 1964</w:t>
      </w:r>
    </w:p>
    <w:p w:rsidR="0010420B" w:rsidRDefault="0010420B" w:rsidP="0010420B">
      <w:r>
        <w:t>Sont applicables :</w:t>
      </w:r>
    </w:p>
    <w:p w:rsidR="0010420B" w:rsidRDefault="0010420B" w:rsidP="0010420B">
      <w:r>
        <w:t>-les dispositions de la loi du 30 juin 1881 sur la liberté de réunion, à l'exception de son article 5 et celles de la loi du 28 mars 1907 relative aux réunions publiques ;</w:t>
      </w:r>
    </w:p>
    <w:p w:rsidR="0010420B" w:rsidRDefault="0010420B" w:rsidP="0010420B">
      <w:r>
        <w:t>-les dispositions de la loi du 29 juillet 1881 sur la liberté de la presse. Toutefois, dans les départements du Haut-Rhin, du Bas-Rhin et de la Moselle, les articles 15 et 17 de ladite loi ne sont applicables que sous réserve des dispositions de la loi locale du 10 juillet 1906.</w:t>
      </w:r>
    </w:p>
    <w:p w:rsidR="0010420B" w:rsidRDefault="0010420B" w:rsidP="0010420B">
      <w:r>
        <w:rPr>
          <w:b/>
          <w:bCs/>
          <w:color w:val="224466"/>
          <w:sz w:val="17"/>
          <w:szCs w:val="17"/>
        </w:rPr>
        <w:t xml:space="preserve">L. 308 </w:t>
      </w:r>
      <w:r>
        <w:t>Décret 64-1086 1964-10-27 JORF 28 OCTOBRE 1964</w:t>
      </w:r>
    </w:p>
    <w:p w:rsidR="0010420B" w:rsidRDefault="0010420B" w:rsidP="0010420B">
      <w:r>
        <w:t>Un décret en conseil d'Etat fixe le nombre, les dimensions et les modalités d'envoi des circulaires et bulletins de vote que les candidats peuvent faire imprimer et envoyer aux membres du collège électoral.</w:t>
      </w:r>
    </w:p>
    <w:p w:rsidR="0010420B" w:rsidRDefault="0010420B" w:rsidP="0010420B">
      <w:r>
        <w:t>L'Etat prend à sa charge les frais d'envoi de ces circulaires et bulletins.</w:t>
      </w:r>
    </w:p>
    <w:p w:rsidR="0010420B" w:rsidRDefault="0010420B" w:rsidP="0010420B">
      <w:r>
        <w:t>En outre, il rembourse le coût du papier et les frais d'impression des circulaires et bulletins aux candidats ayant obtenu, en cas de scrutin proportionnel, au moins 5 % des suffrages exprimés ou, en cas de scrutin majoritaire, à l'un des deux tours au moins 10 % des suffrages exprimés.</w:t>
      </w:r>
    </w:p>
    <w:p w:rsidR="0010420B" w:rsidRDefault="0010420B" w:rsidP="0010420B">
      <w:r>
        <w:rPr>
          <w:b/>
          <w:bCs/>
          <w:color w:val="224466"/>
          <w:sz w:val="17"/>
          <w:szCs w:val="17"/>
        </w:rPr>
        <w:t xml:space="preserve">L. 308-1 </w:t>
      </w:r>
      <w:r>
        <w:t>LOI n°2013-1029 du 15 novembre 2013 - art. 26 - NOR: OMEX1312954L</w:t>
      </w:r>
    </w:p>
    <w:p w:rsidR="0010420B" w:rsidRDefault="0010420B" w:rsidP="0010420B">
      <w:r>
        <w:t>Le chapitre V bis du titre Ier du livre Ier est applicable aux candidats aux élections sénatoriales.</w:t>
      </w:r>
    </w:p>
    <w:p w:rsidR="0010420B" w:rsidRDefault="0010420B" w:rsidP="0010420B">
      <w:r>
        <w:t>Le plafond des dépenses pour l'élection des sénateurs est de 10 000 € par candidat ou par liste. Il est majoré de :</w:t>
      </w:r>
    </w:p>
    <w:p w:rsidR="0010420B" w:rsidRDefault="0010420B" w:rsidP="0010420B">
      <w:r>
        <w:t>1° 0,05 € par habitant du département pour les départements élisant deux sénateurs ou moins ;</w:t>
      </w:r>
    </w:p>
    <w:p w:rsidR="0010420B" w:rsidRDefault="0010420B" w:rsidP="0010420B">
      <w:r>
        <w:t>2° 0,02 € par habitant du département pour les départements élisant trois sénateurs ou plus.</w:t>
      </w:r>
    </w:p>
    <w:p w:rsidR="0010420B" w:rsidRDefault="0010420B" w:rsidP="0010420B">
      <w:r>
        <w:t>Les montants prévus au présent article sont actualisés tous les ans par décret. Ils évoluent comme l'indice des prix à la consommation des ménages, hors tabac.</w:t>
      </w:r>
    </w:p>
    <w:p w:rsidR="0010420B" w:rsidRDefault="0010420B" w:rsidP="0010420B"/>
    <w:p w:rsidR="0010420B" w:rsidRDefault="0010420B" w:rsidP="0010420B"/>
    <w:p w:rsidR="0010420B" w:rsidRDefault="0010420B" w:rsidP="0010420B">
      <w:pPr>
        <w:pStyle w:val="Titre1"/>
      </w:pPr>
      <w:bookmarkStart w:id="60" w:name="_Toc462401513"/>
      <w:bookmarkStart w:id="61" w:name="_Toc33527370"/>
      <w:bookmarkStart w:id="62" w:name="_Toc33528195"/>
      <w:r>
        <w:t>Livre III : Dispositions spécifiques aux députés élus par les Français établis hors de France</w:t>
      </w:r>
      <w:bookmarkEnd w:id="60"/>
      <w:bookmarkEnd w:id="61"/>
      <w:bookmarkEnd w:id="62"/>
    </w:p>
    <w:p w:rsidR="0010420B" w:rsidRDefault="0010420B" w:rsidP="0010420B">
      <w:pPr>
        <w:pStyle w:val="Titre2"/>
      </w:pPr>
      <w:bookmarkStart w:id="63" w:name="_Toc462401514"/>
      <w:r>
        <w:t>Section 3 : Campagne électorale</w:t>
      </w:r>
      <w:bookmarkEnd w:id="63"/>
    </w:p>
    <w:p w:rsidR="0010420B" w:rsidRDefault="0010420B" w:rsidP="0010420B">
      <w:r>
        <w:rPr>
          <w:b/>
          <w:bCs/>
          <w:color w:val="224466"/>
          <w:sz w:val="17"/>
          <w:szCs w:val="17"/>
        </w:rPr>
        <w:t xml:space="preserve">L. 330-6 </w:t>
      </w:r>
      <w:r>
        <w:t>LOI n°2011-411 du 14 avril 2011 - art. 2 - NOR: IOCX0917304L</w:t>
      </w:r>
    </w:p>
    <w:p w:rsidR="0010420B" w:rsidRDefault="0010420B" w:rsidP="0010420B">
      <w:r>
        <w:t>A l'intérieur des locaux des ambassades et des postes consulaires et des bureaux de vote ouverts dans d'autres locaux, des emplacements sont réservés, pendant la durée de la campagne électorale, pour l'apposition des affiches électorales des candidats.</w:t>
      </w:r>
    </w:p>
    <w:p w:rsidR="0010420B" w:rsidRDefault="0010420B" w:rsidP="0010420B">
      <w:r>
        <w:t>Dans chacun de ces emplacements, une surface égale est attribuée à chaque candidat.</w:t>
      </w:r>
    </w:p>
    <w:p w:rsidR="0010420B" w:rsidRDefault="0010420B" w:rsidP="0010420B">
      <w:r>
        <w:t>Pendant la durée de la campagne électorale et sous réserve des nécessités de service, l'Etat met ses locaux diplomatiques, consulaires, culturels et scolaires à la disposition des candidats qui en font la demande pour la tenue de réunions électorales.</w:t>
      </w:r>
    </w:p>
    <w:p w:rsidR="0010420B" w:rsidRDefault="0010420B" w:rsidP="0010420B">
      <w:r>
        <w:t xml:space="preserve">Les attributions de la commission prévue à l'article </w:t>
      </w:r>
      <w:r>
        <w:rPr>
          <w:i/>
          <w:iCs/>
          <w:color w:val="224466"/>
        </w:rPr>
        <w:t xml:space="preserve">L. 166 </w:t>
      </w:r>
      <w:r>
        <w:t xml:space="preserve">sont exercées par la commission électorale mentionnée à l'article </w:t>
      </w:r>
      <w:r>
        <w:rPr>
          <w:i/>
          <w:iCs/>
          <w:color w:val="224466"/>
        </w:rPr>
        <w:t xml:space="preserve">7 </w:t>
      </w:r>
      <w:r>
        <w:t>de la loi organique du 31 janvier 1976 susmentionnée.</w:t>
      </w:r>
    </w:p>
    <w:p w:rsidR="0010420B" w:rsidRDefault="0010420B" w:rsidP="0010420B">
      <w:r>
        <w:t>Les ambassades et les postes consulaires participent à l'envoi aux électeurs des circulaires et des bulletins de vote des candidats dans des conditions fixées par décret en Conseil d'Etat. Ils les tiennent à disposition des électeurs dans leurs locaux.</w:t>
      </w:r>
    </w:p>
    <w:p w:rsidR="0010420B" w:rsidRDefault="0010420B" w:rsidP="0010420B">
      <w:r>
        <w:t xml:space="preserve">Les références à l'article </w:t>
      </w:r>
      <w:r>
        <w:rPr>
          <w:i/>
          <w:iCs/>
          <w:color w:val="224466"/>
        </w:rPr>
        <w:t xml:space="preserve">L. 51 </w:t>
      </w:r>
      <w:r>
        <w:t xml:space="preserve">figurant aux articles </w:t>
      </w:r>
      <w:r>
        <w:rPr>
          <w:i/>
          <w:iCs/>
          <w:color w:val="224466"/>
        </w:rPr>
        <w:t xml:space="preserve">L. 164 </w:t>
      </w:r>
      <w:r>
        <w:t xml:space="preserve">et </w:t>
      </w:r>
      <w:r>
        <w:rPr>
          <w:i/>
          <w:iCs/>
          <w:color w:val="224466"/>
        </w:rPr>
        <w:t xml:space="preserve">L. 165 </w:t>
      </w:r>
      <w:r>
        <w:t>s'entendent des références au présent article.</w:t>
      </w:r>
    </w:p>
    <w:p w:rsidR="0010420B" w:rsidRDefault="0010420B" w:rsidP="0010420B"/>
    <w:p w:rsidR="0010420B" w:rsidRDefault="0010420B" w:rsidP="0010420B">
      <w:pPr>
        <w:pStyle w:val="Titre1"/>
      </w:pPr>
      <w:bookmarkStart w:id="64" w:name="_Toc462401515"/>
      <w:bookmarkStart w:id="65" w:name="_Toc33527371"/>
      <w:bookmarkStart w:id="66" w:name="_Toc33528196"/>
      <w:r>
        <w:lastRenderedPageBreak/>
        <w:t>Livre IV : Election des conseillers régionaux et des conseillers à l'Assemblée de Corse</w:t>
      </w:r>
      <w:bookmarkEnd w:id="64"/>
      <w:bookmarkEnd w:id="65"/>
      <w:bookmarkEnd w:id="66"/>
    </w:p>
    <w:p w:rsidR="0010420B" w:rsidRDefault="0010420B" w:rsidP="0010420B">
      <w:pPr>
        <w:pStyle w:val="Titre2"/>
      </w:pPr>
      <w:bookmarkStart w:id="67" w:name="_Toc462401516"/>
      <w:r>
        <w:t>Chapitre VI : Propagande</w:t>
      </w:r>
      <w:bookmarkEnd w:id="67"/>
    </w:p>
    <w:p w:rsidR="0010420B" w:rsidRDefault="0010420B" w:rsidP="0010420B">
      <w:r>
        <w:rPr>
          <w:b/>
          <w:bCs/>
          <w:color w:val="224466"/>
          <w:sz w:val="17"/>
          <w:szCs w:val="17"/>
        </w:rPr>
        <w:t xml:space="preserve">L. 353 </w:t>
      </w:r>
      <w:r>
        <w:t>Loi n°99-36 du 19 janvier 1999 - art. 9 - - NOR: INTX9800071L</w:t>
      </w:r>
    </w:p>
    <w:p w:rsidR="0010420B" w:rsidRDefault="0010420B" w:rsidP="0010420B">
      <w:r>
        <w:t>La campagne électorale est ouverte à partir du deuxième lundi qui précède le jour du scrutin.</w:t>
      </w:r>
    </w:p>
    <w:p w:rsidR="0010420B" w:rsidRDefault="0010420B" w:rsidP="0010420B">
      <w:r>
        <w:rPr>
          <w:b/>
          <w:bCs/>
          <w:color w:val="224466"/>
          <w:sz w:val="17"/>
          <w:szCs w:val="17"/>
        </w:rPr>
        <w:t xml:space="preserve">L. 354 </w:t>
      </w:r>
      <w:r>
        <w:t>Loi n°91-428 du 13 mai 1991 - art. 3 - JORF 14 mai 1991 - NOR: INTX9000167L</w:t>
      </w:r>
    </w:p>
    <w:p w:rsidR="0010420B" w:rsidRDefault="0010420B" w:rsidP="0010420B">
      <w:r>
        <w:t>Dans chaque département, une commission de propagande, dont la composition et le fonctionnement sont fixés par décret en Conseil d'Etat, est chargée d'assurer l'envoi et la distribution des documents de propagande électorale.</w:t>
      </w:r>
    </w:p>
    <w:p w:rsidR="0010420B" w:rsidRDefault="0010420B" w:rsidP="0010420B">
      <w:r>
        <w:rPr>
          <w:b/>
          <w:bCs/>
          <w:color w:val="224466"/>
          <w:sz w:val="17"/>
          <w:szCs w:val="17"/>
        </w:rPr>
        <w:t xml:space="preserve">L. 355 </w:t>
      </w:r>
      <w:r>
        <w:t>Loi n°91-428 du 13 mai 1991 - art. 3 - JORF 14 mai 1991 - NOR: INTX9000167L</w:t>
      </w:r>
    </w:p>
    <w:p w:rsidR="0010420B" w:rsidRDefault="0010420B" w:rsidP="0010420B">
      <w:r>
        <w:t xml:space="preserve">L'Etat prend à sa charge les dépenses provenant des opérations effectuées par les commissions instituées par l'article </w:t>
      </w:r>
      <w:r>
        <w:rPr>
          <w:i/>
          <w:iCs/>
          <w:color w:val="224466"/>
        </w:rPr>
        <w:t xml:space="preserve">L. 354 </w:t>
      </w:r>
      <w:r>
        <w:t>ainsi que celles qui résultent de leur fonctionnement.</w:t>
      </w:r>
    </w:p>
    <w:p w:rsidR="0010420B" w:rsidRDefault="0010420B" w:rsidP="0010420B">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10420B" w:rsidRDefault="0010420B" w:rsidP="0010420B">
      <w:r>
        <w:rPr>
          <w:b/>
          <w:bCs/>
          <w:color w:val="224466"/>
          <w:sz w:val="17"/>
          <w:szCs w:val="17"/>
        </w:rPr>
        <w:t xml:space="preserve">L. 356 </w:t>
      </w:r>
      <w:r>
        <w:t>Loi n°91-428 du 13 mai 1991 - art. 3 - JORF 14 mai 1991 - NOR: INTX9000167L</w:t>
      </w:r>
    </w:p>
    <w:p w:rsidR="0010420B" w:rsidRDefault="0010420B" w:rsidP="0010420B">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régionaux</w:t>
      </w:r>
    </w:p>
    <w:p w:rsidR="0010420B" w:rsidRDefault="0010420B" w:rsidP="0010420B"/>
    <w:p w:rsidR="0010420B" w:rsidRDefault="0010420B" w:rsidP="0010420B">
      <w:pPr>
        <w:pStyle w:val="Titre1"/>
      </w:pPr>
      <w:bookmarkStart w:id="68" w:name="_Toc462401517"/>
      <w:bookmarkStart w:id="69" w:name="_Toc33527372"/>
      <w:bookmarkStart w:id="70" w:name="_Toc33528197"/>
      <w:r>
        <w:t>Titre II : Election des conseillers à l'Assemblée de Corse</w:t>
      </w:r>
      <w:bookmarkEnd w:id="68"/>
      <w:bookmarkEnd w:id="69"/>
      <w:bookmarkEnd w:id="70"/>
    </w:p>
    <w:p w:rsidR="0010420B" w:rsidRDefault="0010420B" w:rsidP="0010420B">
      <w:pPr>
        <w:pStyle w:val="Titre2"/>
      </w:pPr>
      <w:bookmarkStart w:id="71" w:name="_Toc462401518"/>
      <w:r>
        <w:t>Chapitre VI : Propagande</w:t>
      </w:r>
      <w:bookmarkEnd w:id="71"/>
    </w:p>
    <w:p w:rsidR="0010420B" w:rsidRDefault="0010420B" w:rsidP="0010420B">
      <w:r>
        <w:rPr>
          <w:b/>
          <w:bCs/>
          <w:color w:val="224466"/>
          <w:sz w:val="17"/>
          <w:szCs w:val="17"/>
        </w:rPr>
        <w:t xml:space="preserve">L. 375 </w:t>
      </w:r>
      <w:r>
        <w:t>Loi n°91-428 du 13 mai 1991 - art. 3 - JORF 14 mai 1991 - NOR: INTX9000167L</w:t>
      </w:r>
    </w:p>
    <w:p w:rsidR="0010420B" w:rsidRDefault="0010420B" w:rsidP="0010420B">
      <w:r>
        <w:t>La campagne électorale pour le premier tour de scrutin est ouverte à partir du deuxième lundi qui précède celui-ci. Elle prend fin le samedi précédent le scrutin à minuit.</w:t>
      </w:r>
    </w:p>
    <w:p w:rsidR="0010420B" w:rsidRDefault="0010420B" w:rsidP="0010420B">
      <w:r>
        <w:t>La campagne électorale pour le second tour commence le lundi suivant le premier tour à midi et s'achève le samedi suivant à minuit.</w:t>
      </w:r>
    </w:p>
    <w:p w:rsidR="0010420B" w:rsidRDefault="0010420B" w:rsidP="0010420B">
      <w:r>
        <w:t>Les antennes du service public de télévision et de radiodiffusion en Corse sont mises à la disposition des listes dont la candidature a été régulièrement enregistrée, pour une durée totale de trois heures à la télévision et de trois heures à la radio.</w:t>
      </w:r>
    </w:p>
    <w:p w:rsidR="0010420B" w:rsidRDefault="0010420B" w:rsidP="0010420B">
      <w:r>
        <w:t>Ces durées sont réparties également entre les listes.</w:t>
      </w:r>
    </w:p>
    <w:p w:rsidR="0010420B" w:rsidRDefault="0010420B" w:rsidP="0010420B">
      <w:r>
        <w:t>Les horaires des émissions et les modalités de leur réalisation sont fixés par le Conseil supérieur de l'audiovisuel.</w:t>
      </w:r>
    </w:p>
    <w:p w:rsidR="0010420B" w:rsidRDefault="0010420B" w:rsidP="0010420B">
      <w:r>
        <w:rPr>
          <w:b/>
          <w:bCs/>
          <w:color w:val="224466"/>
          <w:sz w:val="17"/>
          <w:szCs w:val="17"/>
        </w:rPr>
        <w:t xml:space="preserve">L. 376 </w:t>
      </w:r>
      <w:r>
        <w:t>Loi n°91-428 du 13 mai 1991 - art. 3 - JORF 14 mai 1991 - NOR: INTX9000167L</w:t>
      </w:r>
    </w:p>
    <w:p w:rsidR="0010420B" w:rsidRDefault="0010420B" w:rsidP="0010420B">
      <w:r>
        <w:t xml:space="preserve">Une commission de propagande dont la composition et le fonctionnement sont fixés par décret en Conseil d'Etat est chargée d'assurer l'envoi et la distribution des documents de propagande électorale. </w:t>
      </w:r>
    </w:p>
    <w:p w:rsidR="0010420B" w:rsidRDefault="0010420B" w:rsidP="0010420B">
      <w:r>
        <w:t>Les documents de propagande sont déposés au plus tard le deuxième jeudi qui précède le jour du scrutin, à midi, auprès de cette commission.</w:t>
      </w:r>
    </w:p>
    <w:p w:rsidR="0010420B" w:rsidRDefault="0010420B" w:rsidP="0010420B">
      <w:r>
        <w:t>Les listes n'ayant pas effectué ce dépôt ne sont pas admises pour la dernière semaine précédant le jour du scrutin à la répartition des temps d'antenne prévue à l'article précédent.</w:t>
      </w:r>
    </w:p>
    <w:p w:rsidR="0010420B" w:rsidRDefault="0010420B" w:rsidP="0010420B">
      <w:r>
        <w:t>Chaque liste de candidats peut désigner un mandataire qui participe aux travaux de la commission avec voix consultative.</w:t>
      </w:r>
    </w:p>
    <w:p w:rsidR="0010420B" w:rsidRDefault="0010420B" w:rsidP="0010420B">
      <w:r>
        <w:rPr>
          <w:b/>
          <w:bCs/>
          <w:color w:val="224466"/>
          <w:sz w:val="17"/>
          <w:szCs w:val="17"/>
        </w:rPr>
        <w:t xml:space="preserve">L. 377 </w:t>
      </w:r>
      <w:r>
        <w:t>Loi n°91-428 du 13 mai 1991 - art. 3 - JORF 14 mai 1991 - NOR: INTX9000167L</w:t>
      </w:r>
    </w:p>
    <w:p w:rsidR="0010420B" w:rsidRDefault="0010420B" w:rsidP="0010420B">
      <w:r>
        <w:t xml:space="preserve">Les dispositions des articles </w:t>
      </w:r>
      <w:r>
        <w:rPr>
          <w:i/>
          <w:iCs/>
          <w:color w:val="224466"/>
        </w:rPr>
        <w:t xml:space="preserve">L. 355 </w:t>
      </w:r>
      <w:r>
        <w:t xml:space="preserve">et </w:t>
      </w:r>
      <w:r>
        <w:rPr>
          <w:i/>
          <w:iCs/>
          <w:color w:val="224466"/>
        </w:rPr>
        <w:t xml:space="preserve">L. 356 </w:t>
      </w:r>
      <w:r>
        <w:t>sont applicables à l'élection des conseillers à l'Assemblée de Corse.</w:t>
      </w:r>
    </w:p>
    <w:p w:rsidR="0010420B" w:rsidRDefault="0010420B" w:rsidP="0010420B"/>
    <w:p w:rsidR="0010420B" w:rsidRDefault="0010420B" w:rsidP="0010420B">
      <w:pPr>
        <w:pStyle w:val="Titre1"/>
      </w:pPr>
      <w:bookmarkStart w:id="72" w:name="_Toc462401519"/>
      <w:bookmarkStart w:id="73" w:name="_Toc33527373"/>
      <w:bookmarkStart w:id="74" w:name="_Toc33528198"/>
      <w:r>
        <w:lastRenderedPageBreak/>
        <w:t>Livre VI bis : Election des conseillers à l'assemblée de Guyane et des conseillers à l'assemblée de Martinique</w:t>
      </w:r>
      <w:bookmarkEnd w:id="72"/>
      <w:bookmarkEnd w:id="73"/>
      <w:bookmarkEnd w:id="74"/>
    </w:p>
    <w:p w:rsidR="0010420B" w:rsidRDefault="0010420B" w:rsidP="0010420B">
      <w:pPr>
        <w:pStyle w:val="Titre2"/>
      </w:pPr>
      <w:bookmarkStart w:id="75" w:name="_Toc462401520"/>
      <w:r>
        <w:t>Chapitre IV : Propagande</w:t>
      </w:r>
      <w:bookmarkEnd w:id="75"/>
    </w:p>
    <w:p w:rsidR="0010420B" w:rsidRDefault="0010420B" w:rsidP="0010420B">
      <w:r>
        <w:rPr>
          <w:b/>
          <w:bCs/>
          <w:color w:val="224466"/>
          <w:sz w:val="17"/>
          <w:szCs w:val="17"/>
        </w:rPr>
        <w:t xml:space="preserve">L. 558-25 </w:t>
      </w:r>
      <w:r>
        <w:t>LOI n°2011-884 du 27 juillet 2011 - art. 8 - NOR: IOCX1031679L</w:t>
      </w:r>
    </w:p>
    <w:p w:rsidR="0010420B" w:rsidRDefault="0010420B" w:rsidP="0010420B">
      <w:r>
        <w:t>La campagne électorale pour le premier tour de scrutin est ouverte à partir du deuxième lundi qui précède celui-ci.</w:t>
      </w:r>
    </w:p>
    <w:p w:rsidR="0010420B" w:rsidRDefault="0010420B" w:rsidP="0010420B">
      <w:r>
        <w:t>La campagne électorale pour le second tour commence le lundi suivant le premier tour à midi.</w:t>
      </w:r>
    </w:p>
    <w:p w:rsidR="0010420B" w:rsidRDefault="0010420B" w:rsidP="0010420B">
      <w:r>
        <w:t>Les antennes du service public de télévision et de radiodiffusion dans la collectivité territoriale sont mises à la disposition des listes dont la candidature a été régulièrement enregistrée, pour une durée totale de trois heures à la télévision et de trois heures à la radio. Ces durées sont réparties également entre les listes.</w:t>
      </w:r>
    </w:p>
    <w:p w:rsidR="0010420B" w:rsidRDefault="0010420B" w:rsidP="0010420B">
      <w:r>
        <w:t>Les horaires des émissions et les modalités de leur réalisation sont fixés par le Conseil supérieur de l'audiovisuel.</w:t>
      </w:r>
    </w:p>
    <w:p w:rsidR="0010420B" w:rsidRDefault="0010420B" w:rsidP="0010420B">
      <w:r>
        <w:rPr>
          <w:b/>
          <w:bCs/>
          <w:color w:val="224466"/>
          <w:sz w:val="17"/>
          <w:szCs w:val="17"/>
        </w:rPr>
        <w:t xml:space="preserve">L. 558-26 </w:t>
      </w:r>
      <w:r>
        <w:t>LOI n°2011-884 du 27 juillet 2011 - art. 8 - NOR: IOCX1031679L</w:t>
      </w:r>
    </w:p>
    <w:p w:rsidR="0010420B" w:rsidRDefault="0010420B" w:rsidP="0010420B">
      <w:r>
        <w:t>Dans la collectivité territoriale, une commission de propagande, dont la composition et le fonctionnement sont fixés par décret en Conseil d'Etat, est chargée d'assurer l'envoi et la distribution des documents de propagande électorale.</w:t>
      </w:r>
    </w:p>
    <w:p w:rsidR="0010420B" w:rsidRDefault="0010420B" w:rsidP="0010420B">
      <w:r>
        <w:rPr>
          <w:b/>
          <w:bCs/>
          <w:color w:val="224466"/>
          <w:sz w:val="17"/>
          <w:szCs w:val="17"/>
        </w:rPr>
        <w:t xml:space="preserve">L. 558-27 </w:t>
      </w:r>
      <w:r>
        <w:t>LOI n°2015-1268 du 14 octobre 2015 - art. 38 - NOR: OMEX1505701L</w:t>
      </w:r>
    </w:p>
    <w:p w:rsidR="0010420B" w:rsidRDefault="0010420B" w:rsidP="0010420B">
      <w:r>
        <w:t xml:space="preserve">L'Etat prend à sa charge les dépenses provenant des opérations effectuées par les commissions instituées par l'article </w:t>
      </w:r>
      <w:r>
        <w:rPr>
          <w:i/>
          <w:iCs/>
          <w:color w:val="224466"/>
        </w:rPr>
        <w:t xml:space="preserve">L. 558-26 </w:t>
      </w:r>
      <w:r>
        <w:t>ainsi que celles qui résultent de leur fonctionnement.</w:t>
      </w:r>
    </w:p>
    <w:p w:rsidR="0010420B" w:rsidRDefault="0010420B" w:rsidP="0010420B">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10420B" w:rsidRDefault="0010420B" w:rsidP="0010420B">
      <w:r>
        <w:t>Les dépenses liées à la campagne audiovisuelle officielle sont à la charge de l'Etat.</w:t>
      </w:r>
    </w:p>
    <w:p w:rsidR="0010420B" w:rsidRDefault="0010420B" w:rsidP="0010420B">
      <w:r>
        <w:rPr>
          <w:b/>
          <w:bCs/>
          <w:color w:val="224466"/>
          <w:sz w:val="17"/>
          <w:szCs w:val="17"/>
        </w:rPr>
        <w:t xml:space="preserve">L. 558-28 </w:t>
      </w:r>
      <w:r>
        <w:t>LOI n°2011-884 du 27 juillet 2011 - art. 8 - NOR: IOCX1031679L</w:t>
      </w:r>
    </w:p>
    <w:p w:rsidR="0010420B" w:rsidRDefault="0010420B" w:rsidP="0010420B">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à l'assemblée de Guyane et des conseillers à l'assemblée de Martinique.</w:t>
      </w:r>
    </w:p>
    <w:p w:rsidR="0010420B" w:rsidRDefault="0010420B" w:rsidP="0010420B"/>
    <w:p w:rsidR="0010420B" w:rsidRDefault="0010420B" w:rsidP="0010420B"/>
    <w:p w:rsidR="0010420B" w:rsidRPr="00A87879" w:rsidRDefault="0010420B" w:rsidP="0010420B">
      <w:pPr>
        <w:pStyle w:val="Titre1"/>
        <w:rPr>
          <w:sz w:val="40"/>
        </w:rPr>
      </w:pPr>
      <w:r>
        <w:br w:type="page"/>
      </w:r>
      <w:bookmarkStart w:id="76" w:name="_Toc462401521"/>
      <w:bookmarkStart w:id="77" w:name="_Toc33527374"/>
      <w:bookmarkStart w:id="78" w:name="_Toc33528199"/>
      <w:r w:rsidRPr="00A87879">
        <w:rPr>
          <w:sz w:val="40"/>
        </w:rPr>
        <w:lastRenderedPageBreak/>
        <w:t>Partie réglementaire</w:t>
      </w:r>
      <w:bookmarkEnd w:id="76"/>
      <w:bookmarkEnd w:id="77"/>
      <w:bookmarkEnd w:id="78"/>
      <w:r w:rsidRPr="00A87879">
        <w:rPr>
          <w:sz w:val="40"/>
        </w:rPr>
        <w:t xml:space="preserve"> </w:t>
      </w:r>
    </w:p>
    <w:p w:rsidR="0010420B" w:rsidRDefault="0010420B" w:rsidP="0010420B">
      <w:pPr>
        <w:pStyle w:val="Titre1"/>
      </w:pPr>
      <w:bookmarkStart w:id="79" w:name="_Toc462401522"/>
      <w:bookmarkStart w:id="80" w:name="_Toc33527375"/>
      <w:bookmarkStart w:id="81" w:name="_Toc33528200"/>
      <w:r>
        <w:t>Livre Ier : Election des députés, des conseillers départementaux, des conseillers métropolitains de Lyon, des conseillers municipaux et des conseillers communautaires des départements</w:t>
      </w:r>
      <w:bookmarkEnd w:id="79"/>
      <w:bookmarkEnd w:id="80"/>
      <w:bookmarkEnd w:id="81"/>
    </w:p>
    <w:p w:rsidR="0010420B" w:rsidRDefault="0010420B" w:rsidP="0010420B">
      <w:pPr>
        <w:pStyle w:val="Titre1"/>
      </w:pPr>
      <w:bookmarkStart w:id="82" w:name="_Toc462401523"/>
      <w:bookmarkStart w:id="83" w:name="_Toc33527376"/>
      <w:bookmarkStart w:id="84" w:name="_Toc33528201"/>
      <w:r>
        <w:t>Titre Ier : Dispositions communes à l'élection des députés, des conseillers départementaux, des conseillers métropolitains de Lyon, des conseillers municipaux et des conseillers communautaires.</w:t>
      </w:r>
      <w:bookmarkEnd w:id="82"/>
      <w:bookmarkEnd w:id="83"/>
      <w:bookmarkEnd w:id="84"/>
    </w:p>
    <w:p w:rsidR="0010420B" w:rsidRDefault="0010420B" w:rsidP="0010420B"/>
    <w:p w:rsidR="0010420B" w:rsidRDefault="0010420B" w:rsidP="0010420B">
      <w:pPr>
        <w:pStyle w:val="Titre2"/>
      </w:pPr>
      <w:bookmarkStart w:id="85" w:name="_Toc462401524"/>
      <w:r>
        <w:t>Chapitre V : Propagande</w:t>
      </w:r>
      <w:bookmarkEnd w:id="85"/>
    </w:p>
    <w:p w:rsidR="0010420B" w:rsidRDefault="0010420B" w:rsidP="0010420B">
      <w:r>
        <w:rPr>
          <w:b/>
          <w:bCs/>
          <w:color w:val="224466"/>
          <w:sz w:val="17"/>
          <w:szCs w:val="17"/>
        </w:rPr>
        <w:t xml:space="preserve">R. 26 </w:t>
      </w:r>
      <w:r>
        <w:t>Décret n°2006-1244 du 11 octobre 2006 - art. 5 - JORF 13 octobre 2006 - NOR: INTA0600221D</w:t>
      </w:r>
    </w:p>
    <w:p w:rsidR="0010420B" w:rsidRDefault="0010420B" w:rsidP="0010420B">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10420B" w:rsidRDefault="0010420B" w:rsidP="0010420B">
      <w:r>
        <w:rPr>
          <w:b/>
          <w:bCs/>
          <w:color w:val="224466"/>
          <w:sz w:val="17"/>
          <w:szCs w:val="17"/>
        </w:rPr>
        <w:t xml:space="preserve">R. 27 </w:t>
      </w:r>
      <w:r>
        <w:t>Décret n°2006-1244 du 11 octobre 2006 - art. 5 - JORF 13 octobre 2006 - NOR: INTA0600221D</w:t>
      </w:r>
    </w:p>
    <w:p w:rsidR="0010420B" w:rsidRDefault="0010420B" w:rsidP="0010420B">
      <w:r>
        <w:t>Les affiches et circulaires ayant un but ou un caractère électoral qui comprennent une combinaison des trois couleurs : bleu, blanc et rouge à l'exception de la reproduction de l'emblème d'un parti ou groupement politique sont interdites.</w:t>
      </w:r>
    </w:p>
    <w:p w:rsidR="0010420B" w:rsidRDefault="0010420B" w:rsidP="0010420B">
      <w:r>
        <w:t>Les affiches doivent avoir une largeur maximale de 594 mm et une hauteur maximale de 841 mm.</w:t>
      </w:r>
    </w:p>
    <w:p w:rsidR="0010420B" w:rsidRDefault="0010420B" w:rsidP="0010420B">
      <w:r>
        <w:rPr>
          <w:b/>
          <w:bCs/>
          <w:color w:val="224466"/>
          <w:sz w:val="17"/>
          <w:szCs w:val="17"/>
        </w:rPr>
        <w:t xml:space="preserve">R. 28 </w:t>
      </w:r>
      <w:r>
        <w:t>Décret n°2013-938 du 18 octobre 2013 - art. 30 - NOR: INTA1315613D</w:t>
      </w:r>
    </w:p>
    <w:p w:rsidR="0010420B" w:rsidRDefault="0010420B" w:rsidP="0010420B">
      <w:r>
        <w:t xml:space="preserve">Le nombre maximum des emplacements réservés à l'affichage électoral en application de l'article </w:t>
      </w:r>
      <w:r>
        <w:rPr>
          <w:i/>
          <w:iCs/>
          <w:color w:val="224466"/>
        </w:rPr>
        <w:t>L. 51</w:t>
      </w:r>
      <w:r>
        <w:t>, en dehors de ceux établis à côté des bureaux de vote, est fixé à :</w:t>
      </w:r>
    </w:p>
    <w:p w:rsidR="0010420B" w:rsidRDefault="0010420B" w:rsidP="0010420B">
      <w:r>
        <w:t>-cinq dans les communes ayant 500 électeurs et moins ;</w:t>
      </w:r>
    </w:p>
    <w:p w:rsidR="0010420B" w:rsidRDefault="0010420B" w:rsidP="0010420B">
      <w:r>
        <w:t>-dix dans les autres, plus un par 3 000 électeurs ou fraction supérieure à 2 000 dans les communes ayant plus de 5 000 électeurs.</w:t>
      </w:r>
    </w:p>
    <w:p w:rsidR="0010420B" w:rsidRDefault="0010420B" w:rsidP="0010420B">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10420B" w:rsidRDefault="0010420B" w:rsidP="0010420B">
      <w:r>
        <w:t xml:space="preserve">Dans les autres cas, les demandes sont déposées en mairie au plus tard le mercredi précédant chaque tour de scrutin à midi et les emplacements sont attribués dans l'ordre d'arrivée des demandes à la mairie. </w:t>
      </w:r>
    </w:p>
    <w:p w:rsidR="0010420B" w:rsidRDefault="0010420B" w:rsidP="0010420B">
      <w:r>
        <w:t>Tout candidat qui laissera sans emploi l'emplacement d'affichage qu'il aura demandé sera tenu, sauf en cas de force majeure reconnue par le tribunal, de rembourser à la commune les frais d'établissement.</w:t>
      </w:r>
    </w:p>
    <w:p w:rsidR="0010420B" w:rsidRDefault="0010420B" w:rsidP="0010420B">
      <w:r>
        <w:rPr>
          <w:b/>
          <w:bCs/>
          <w:color w:val="224466"/>
          <w:sz w:val="17"/>
          <w:szCs w:val="17"/>
        </w:rPr>
        <w:t xml:space="preserve">R. 29 </w:t>
      </w:r>
      <w:r>
        <w:t>Décret n°2013-938 du 18 octobre 2013 - art. 14 - NOR: INTA1315613D</w:t>
      </w:r>
    </w:p>
    <w:p w:rsidR="0010420B" w:rsidRDefault="0010420B" w:rsidP="0010420B">
      <w:r>
        <w:t>Chaque candidat, binôme de candidats ou liste de candidats ne peut faire adresser à chaque électeur, par la commission de propagande, qu'une seule circulaire d'un grammage compris entre 60 et 80 grammes au mètre carré et d'un format de 210 mm x 297 mm.</w:t>
      </w:r>
    </w:p>
    <w:p w:rsidR="0010420B" w:rsidRDefault="0010420B" w:rsidP="0010420B">
      <w:r>
        <w:t>Cette circulaire est soustraite à la formalité du dépôt légal.</w:t>
      </w:r>
    </w:p>
    <w:p w:rsidR="0010420B" w:rsidRDefault="0010420B" w:rsidP="0010420B">
      <w:r>
        <w:rPr>
          <w:b/>
          <w:bCs/>
          <w:color w:val="224466"/>
          <w:sz w:val="17"/>
          <w:szCs w:val="17"/>
        </w:rPr>
        <w:t xml:space="preserve">R. 30 </w:t>
      </w:r>
      <w:r>
        <w:t>Décret n°2013-938 du 18 octobre 2013 - art. 15 - NOR: INTA1315613D</w:t>
      </w:r>
    </w:p>
    <w:p w:rsidR="0010420B" w:rsidRDefault="0010420B" w:rsidP="0010420B">
      <w:r>
        <w:t>Les bulletins doivent être imprimés en une seule couleur sur papier blanc, d'un grammage compris entre 60 et 80 grammes au mètre carré et avoir les formats suivants :</w:t>
      </w:r>
    </w:p>
    <w:p w:rsidR="0010420B" w:rsidRDefault="0010420B" w:rsidP="0010420B">
      <w:r>
        <w:t>- 105 x 148 mm au format paysage pour les bulletins comportant de un à quatre noms ;</w:t>
      </w:r>
    </w:p>
    <w:p w:rsidR="0010420B" w:rsidRDefault="0010420B" w:rsidP="0010420B">
      <w:r>
        <w:t>- 148 x 210 mm au format paysage pour les listes comportant de cinq à trente et un noms ;</w:t>
      </w:r>
    </w:p>
    <w:p w:rsidR="0010420B" w:rsidRDefault="0010420B" w:rsidP="0010420B">
      <w:r>
        <w:t>- 210 x 297 mm au format paysage pour les listes comportant plus de trente et un noms.</w:t>
      </w:r>
    </w:p>
    <w:p w:rsidR="0010420B" w:rsidRDefault="0010420B" w:rsidP="0010420B">
      <w:r>
        <w:t>Les bulletins ne peuvent pas comporter d'autres noms de personne que celui du ou des candidats ou de leurs remplaçants éventuels.</w:t>
      </w:r>
    </w:p>
    <w:p w:rsidR="0010420B" w:rsidRDefault="0010420B" w:rsidP="0010420B">
      <w:r>
        <w:t>Le libellé et, le cas échéant, la dimension des caractères des bulletins doivent être conformes aux prescriptions légales ou réglementaires édictées pour chaque catégorie d'élections.</w:t>
      </w:r>
    </w:p>
    <w:p w:rsidR="0010420B" w:rsidRDefault="0010420B" w:rsidP="0010420B">
      <w:r>
        <w:lastRenderedPageBreak/>
        <w:t>Les bulletins de vote sont soustraits à la formalité du dépôt légal.</w:t>
      </w:r>
    </w:p>
    <w:p w:rsidR="0010420B" w:rsidRDefault="0010420B" w:rsidP="0010420B">
      <w:r>
        <w:rPr>
          <w:b/>
          <w:bCs/>
          <w:color w:val="224466"/>
          <w:sz w:val="17"/>
          <w:szCs w:val="17"/>
        </w:rPr>
        <w:t xml:space="preserve">R. 30-1 </w:t>
      </w:r>
      <w:r>
        <w:t>Décret n°2009-430 du 20 avril 2009 - art. 4 - NOR: IOCA0904749D</w:t>
      </w:r>
    </w:p>
    <w:p w:rsidR="0010420B" w:rsidRDefault="0010420B" w:rsidP="0010420B">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10420B" w:rsidRDefault="0010420B" w:rsidP="0010420B">
      <w:r>
        <w:t>Dans les collectivités territoriales comprenant plusieurs circonscriptions électorales, le bulletin de vote peut comporter le nom de ce candidat même dans la circonscription où il n'est pas candidat.</w:t>
      </w:r>
    </w:p>
    <w:p w:rsidR="0010420B" w:rsidRDefault="0010420B" w:rsidP="0010420B">
      <w:r>
        <w:rPr>
          <w:b/>
          <w:bCs/>
          <w:color w:val="224466"/>
          <w:sz w:val="17"/>
          <w:szCs w:val="17"/>
        </w:rPr>
        <w:t xml:space="preserve">R. 31 </w:t>
      </w:r>
      <w:r>
        <w:t>Décret n°2007-1670 du 26 novembre 2007 - art. 3 - JORF 28 novembre 2007 - NOR: IOCA0762473D</w:t>
      </w:r>
    </w:p>
    <w:p w:rsidR="0010420B" w:rsidRDefault="0010420B" w:rsidP="0010420B">
      <w:r>
        <w:t>Dans les circonscriptions électorales où leur création est prescrite, les commissions de propagande sont instituées par arrêté préfectoral et installées au plus tard à l'ouverture de la campagne électorale.</w:t>
      </w:r>
    </w:p>
    <w:p w:rsidR="0010420B" w:rsidRDefault="0010420B" w:rsidP="0010420B">
      <w:r>
        <w:t>Une même commission peut être commune à plusieurs circonscriptions et à plusieurs élections.</w:t>
      </w:r>
    </w:p>
    <w:p w:rsidR="0010420B" w:rsidRDefault="0010420B" w:rsidP="0010420B">
      <w:r>
        <w:rPr>
          <w:b/>
          <w:bCs/>
          <w:color w:val="224466"/>
          <w:sz w:val="17"/>
          <w:szCs w:val="17"/>
        </w:rPr>
        <w:t xml:space="preserve">R. 32 </w:t>
      </w:r>
      <w:r>
        <w:t>Décret n°2013-938 du 18 octobre 2013 - art. 16 - NOR: INTA1315613D</w:t>
      </w:r>
    </w:p>
    <w:p w:rsidR="0010420B" w:rsidRDefault="0010420B" w:rsidP="0010420B">
      <w:r>
        <w:t>Chaque commission comprend :</w:t>
      </w:r>
    </w:p>
    <w:p w:rsidR="0010420B" w:rsidRDefault="0010420B" w:rsidP="0010420B">
      <w:r>
        <w:t>- un magistrat désigné par le premier président de la cour d'appel, président ;</w:t>
      </w:r>
    </w:p>
    <w:p w:rsidR="0010420B" w:rsidRDefault="0010420B" w:rsidP="0010420B">
      <w:r>
        <w:t>- un fonctionnaire désigné par le préfet ;</w:t>
      </w:r>
    </w:p>
    <w:p w:rsidR="0010420B" w:rsidRDefault="0010420B" w:rsidP="0010420B">
      <w:r>
        <w:t>- un représentant de l'opérateur chargé de l'envoi de la propagande.</w:t>
      </w:r>
    </w:p>
    <w:p w:rsidR="0010420B" w:rsidRDefault="0010420B" w:rsidP="0010420B">
      <w:r>
        <w:t>Un suppléant du président et de chaque membre peut être désigné dans les mêmes conditions.</w:t>
      </w:r>
    </w:p>
    <w:p w:rsidR="0010420B" w:rsidRDefault="0010420B" w:rsidP="0010420B">
      <w:r>
        <w:t>Le secrétariat est assuré par un fonctionnaire désigné par le préfet.</w:t>
      </w:r>
    </w:p>
    <w:p w:rsidR="0010420B" w:rsidRDefault="0010420B" w:rsidP="0010420B">
      <w:r>
        <w:t>Les candidats, leurs remplaçants ou leurs mandataires peuvent participer, avec voix consultative, aux travaux de la commission concernant leur circonscription.</w:t>
      </w:r>
    </w:p>
    <w:p w:rsidR="0010420B" w:rsidRDefault="0010420B" w:rsidP="0010420B">
      <w:r>
        <w:t>Le président fixe, en accord avec le préfet, le lieu où la commission doit siéger.</w:t>
      </w:r>
    </w:p>
    <w:p w:rsidR="0010420B" w:rsidRDefault="0010420B" w:rsidP="0010420B">
      <w:r>
        <w:rPr>
          <w:b/>
          <w:bCs/>
          <w:color w:val="224466"/>
          <w:sz w:val="17"/>
          <w:szCs w:val="17"/>
        </w:rPr>
        <w:t xml:space="preserve">R. 33 </w:t>
      </w:r>
      <w:r>
        <w:t>Décret 76-281 1976-03-18 art. 6 JORF 30 mars 1976</w:t>
      </w:r>
    </w:p>
    <w:p w:rsidR="0010420B" w:rsidRDefault="0010420B" w:rsidP="0010420B">
      <w:r>
        <w:t xml:space="preserve">Le président et les membres de la commission perçoivent, lorsque la commission siège en dehors du lieu de leur résidence, des frais de déplacement calculés selon le barème prévu par la réglementation en vigueur. </w:t>
      </w:r>
    </w:p>
    <w:p w:rsidR="0010420B" w:rsidRDefault="0010420B" w:rsidP="0010420B">
      <w:r>
        <w:t>Il est alloué au secrétaire de la commission, pour chaque tour de scrutin, s'il y a lieu, une indemnité dont le taux est fixé par arrêté interministériel.</w:t>
      </w:r>
    </w:p>
    <w:p w:rsidR="0010420B" w:rsidRDefault="0010420B" w:rsidP="0010420B">
      <w:r>
        <w:rPr>
          <w:b/>
          <w:bCs/>
          <w:color w:val="224466"/>
          <w:sz w:val="17"/>
          <w:szCs w:val="17"/>
        </w:rPr>
        <w:t xml:space="preserve">R. 34 </w:t>
      </w:r>
      <w:r>
        <w:t>Décret n°2013-938 du 18 octobre 2013 - art. 17 - NOR: INTA1315613D</w:t>
      </w:r>
    </w:p>
    <w:p w:rsidR="0010420B" w:rsidRDefault="0010420B" w:rsidP="0010420B">
      <w:r>
        <w:t>La commission de propagande reçoit du préfet le matériel nécessaire à l'expédition des circulaires et bulletins de vote et fait préparer les libellés d'envoi.</w:t>
      </w:r>
    </w:p>
    <w:p w:rsidR="0010420B" w:rsidRDefault="0010420B" w:rsidP="0010420B">
      <w:r>
        <w:t>Elle est chargée :</w:t>
      </w:r>
    </w:p>
    <w:p w:rsidR="0010420B" w:rsidRDefault="0010420B" w:rsidP="0010420B">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10420B" w:rsidRDefault="0010420B" w:rsidP="0010420B">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10420B" w:rsidRDefault="0010420B" w:rsidP="0010420B">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10420B" w:rsidRDefault="0010420B" w:rsidP="0010420B">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10420B" w:rsidRDefault="0010420B" w:rsidP="0010420B">
      <w:r>
        <w:t>Lorsque la circonscription électorale comprend des bureaux de vote dotés d'une machine à voter, la commission n'envoie pas aux mairies des bulletins de vote pour ces bureaux ; elle n'en adresse pas aux électeurs qui y sont inscrits.</w:t>
      </w:r>
    </w:p>
    <w:p w:rsidR="0010420B" w:rsidRDefault="0010420B" w:rsidP="0010420B">
      <w:r>
        <w:t>Les circulaires et les bulletins de vote sont remis par les candidats, les binômes de candidats ou les listes de candidats à la commission de propagande sous forme désencartée.</w:t>
      </w:r>
    </w:p>
    <w:p w:rsidR="0010420B" w:rsidRDefault="0010420B" w:rsidP="0010420B">
      <w:r>
        <w:rPr>
          <w:b/>
          <w:bCs/>
          <w:color w:val="224466"/>
          <w:sz w:val="17"/>
          <w:szCs w:val="17"/>
        </w:rPr>
        <w:t xml:space="preserve">R. 36 </w:t>
      </w:r>
      <w:r>
        <w:t>Décret 76-281 1976-03-18 art. 6 JORF 30 mars 1976</w:t>
      </w:r>
    </w:p>
    <w:p w:rsidR="0010420B" w:rsidRDefault="0010420B" w:rsidP="0010420B">
      <w:r>
        <w:lastRenderedPageBreak/>
        <w:t>Tout engagement de dépenses décidé par la commission de propagande en vue d'assurer les tâches qui lui sont confiées doit être préalablement approuvé par le préfet.</w:t>
      </w:r>
    </w:p>
    <w:p w:rsidR="0010420B" w:rsidRDefault="0010420B" w:rsidP="0010420B">
      <w:r>
        <w:rPr>
          <w:b/>
          <w:bCs/>
          <w:color w:val="224466"/>
          <w:sz w:val="17"/>
          <w:szCs w:val="17"/>
        </w:rPr>
        <w:t xml:space="preserve">R. 38 </w:t>
      </w:r>
      <w:r>
        <w:t>Décret n°2013-938 du 18 octobre 2013 - art. 14 - NOR: INTA1315613D</w:t>
      </w:r>
    </w:p>
    <w:p w:rsidR="0010420B" w:rsidRDefault="0010420B" w:rsidP="0010420B">
      <w:r>
        <w:t>Chaque candidat, binôme de candidats ou liste de candidats désirant obtenir le concours de la commission de propagande, doit remettre au président de la commission, avant une date limite fixée pour chaque tour de scrutin par arrêté préfectoral, les exemplaires imprimés de la circulaire ainsi qu'une quantité de bulletins au moins égale au double du nombre des électeurs inscrits.</w:t>
      </w:r>
    </w:p>
    <w:p w:rsidR="0010420B" w:rsidRDefault="0010420B" w:rsidP="0010420B">
      <w:r>
        <w:t>La commission n'est pas tenue d'assurer l'envoi des imprimés remis postérieurement à cette date.</w:t>
      </w:r>
    </w:p>
    <w:p w:rsidR="0010420B" w:rsidRDefault="0010420B" w:rsidP="0010420B">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10420B" w:rsidRDefault="0010420B" w:rsidP="0010420B">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10420B" w:rsidRPr="00A87879" w:rsidRDefault="0010420B" w:rsidP="0010420B">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10420B" w:rsidRDefault="0010420B" w:rsidP="0010420B"/>
    <w:p w:rsidR="0010420B" w:rsidRDefault="0010420B" w:rsidP="0010420B">
      <w:pPr>
        <w:pStyle w:val="Titre1"/>
      </w:pPr>
      <w:bookmarkStart w:id="86" w:name="_Toc462401525"/>
      <w:bookmarkStart w:id="87" w:name="_Toc33527377"/>
      <w:bookmarkStart w:id="88" w:name="_Toc33528202"/>
      <w:r>
        <w:t>Titre II : Dispositions spéciales à l'élection des députés</w:t>
      </w:r>
      <w:bookmarkEnd w:id="86"/>
      <w:bookmarkEnd w:id="87"/>
      <w:bookmarkEnd w:id="88"/>
    </w:p>
    <w:p w:rsidR="0010420B" w:rsidRDefault="0010420B" w:rsidP="0010420B">
      <w:pPr>
        <w:pStyle w:val="Titre2"/>
      </w:pPr>
      <w:bookmarkStart w:id="89" w:name="_Toc462401526"/>
      <w:r>
        <w:t>Chapitre VI : Propagande</w:t>
      </w:r>
      <w:bookmarkEnd w:id="89"/>
    </w:p>
    <w:p w:rsidR="0010420B" w:rsidRDefault="0010420B" w:rsidP="0010420B">
      <w:r>
        <w:rPr>
          <w:b/>
          <w:bCs/>
          <w:color w:val="224466"/>
          <w:sz w:val="17"/>
          <w:szCs w:val="17"/>
        </w:rPr>
        <w:t xml:space="preserve">R. 103 </w:t>
      </w:r>
      <w:r>
        <w:t>Décret n°2009-430 du 20 avril 2009 - art. 6 - NOR: IOCA0904749D</w:t>
      </w:r>
    </w:p>
    <w:p w:rsidR="0010420B" w:rsidRDefault="0010420B" w:rsidP="0010420B">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10420B" w:rsidRDefault="0010420B" w:rsidP="0010420B">
      <w:r>
        <w:t>Le nom du remplaçant doit être imprimé en caractères de moindres dimensions que celui du candidat.</w:t>
      </w:r>
    </w:p>
    <w:p w:rsidR="0010420B" w:rsidRDefault="0010420B" w:rsidP="0010420B"/>
    <w:p w:rsidR="0010420B" w:rsidRDefault="0010420B" w:rsidP="0010420B">
      <w:pPr>
        <w:pStyle w:val="Titre1"/>
      </w:pPr>
      <w:bookmarkStart w:id="90" w:name="_Toc462401527"/>
      <w:bookmarkStart w:id="91" w:name="_Toc33527378"/>
      <w:bookmarkStart w:id="92" w:name="_Toc33528203"/>
      <w:r>
        <w:t>Titre III : Dispositions spéciales à l'élection des conseillers départementaux</w:t>
      </w:r>
      <w:bookmarkEnd w:id="90"/>
      <w:bookmarkEnd w:id="91"/>
      <w:bookmarkEnd w:id="92"/>
      <w:r>
        <w:t xml:space="preserve"> </w:t>
      </w:r>
    </w:p>
    <w:p w:rsidR="0010420B" w:rsidRDefault="0010420B" w:rsidP="0010420B">
      <w:pPr>
        <w:pStyle w:val="Titre2"/>
      </w:pPr>
      <w:bookmarkStart w:id="93" w:name="_Toc462401528"/>
      <w:r>
        <w:t>Chapitre V : Propagande</w:t>
      </w:r>
      <w:bookmarkEnd w:id="93"/>
    </w:p>
    <w:p w:rsidR="0010420B" w:rsidRDefault="0010420B" w:rsidP="0010420B">
      <w:r>
        <w:rPr>
          <w:b/>
          <w:bCs/>
          <w:color w:val="224466"/>
          <w:sz w:val="17"/>
          <w:szCs w:val="17"/>
        </w:rPr>
        <w:lastRenderedPageBreak/>
        <w:t xml:space="preserve">R. 110 </w:t>
      </w:r>
      <w:r>
        <w:t>Décret n°2013-938 du 18 octobre 2013 - art. 5 - NOR: INTA1315613D</w:t>
      </w:r>
    </w:p>
    <w:p w:rsidR="0010420B" w:rsidRDefault="0010420B" w:rsidP="0010420B">
      <w:r>
        <w:t xml:space="preserve">Tout bulletin de vote imprimé à l'occasion de l'élection des conseillers départementaux doit comporter le nom de chaque membre du binôme de candidats, suivi pour chacun d'entre eux du nom de la personne appelée à le remplacer dans les cas de vacance prévus par l'article </w:t>
      </w:r>
      <w:r>
        <w:rPr>
          <w:i/>
          <w:iCs/>
          <w:color w:val="224466"/>
        </w:rPr>
        <w:t>L. 221</w:t>
      </w:r>
      <w:r>
        <w:t>, précédé ou suivi de la mention suivante : "remplaçant ".</w:t>
      </w:r>
    </w:p>
    <w:p w:rsidR="0010420B" w:rsidRDefault="0010420B" w:rsidP="0010420B">
      <w:r>
        <w:t>Les noms des remplaçants doivent être imprimés en caractères de moindres dimensions que ceux des membres du binôme de candidats.</w:t>
      </w:r>
    </w:p>
    <w:p w:rsidR="0010420B" w:rsidRDefault="0010420B" w:rsidP="0010420B">
      <w:r>
        <w:rPr>
          <w:b/>
          <w:bCs/>
          <w:color w:val="224466"/>
          <w:sz w:val="17"/>
          <w:szCs w:val="17"/>
        </w:rPr>
        <w:t xml:space="preserve">R. 110-1 </w:t>
      </w:r>
      <w:r>
        <w:t>Décret n°2013-938 du 18 octobre 2013 - art. 6 - NOR: INTA1315613D</w:t>
      </w:r>
    </w:p>
    <w:p w:rsidR="0010420B" w:rsidRDefault="0010420B" w:rsidP="0010420B">
      <w:r>
        <w:t xml:space="preserve">Pour l'application des dispositions de l'article </w:t>
      </w:r>
      <w:r>
        <w:rPr>
          <w:i/>
          <w:iCs/>
          <w:color w:val="224466"/>
        </w:rPr>
        <w:t>L. 52-11-1</w:t>
      </w:r>
      <w:r>
        <w:t>, chaque binôme de candidats fait connaître au préfet le compte bancaire sur lequel est opéré le versement de la somme résultant du remboursement forfaitaire des dépenses électorales.</w:t>
      </w:r>
    </w:p>
    <w:p w:rsidR="0010420B" w:rsidRDefault="0010420B" w:rsidP="0010420B"/>
    <w:p w:rsidR="0010420B" w:rsidRDefault="0010420B" w:rsidP="0010420B">
      <w:pPr>
        <w:pStyle w:val="Titre1"/>
        <w:rPr>
          <w:sz w:val="17"/>
          <w:szCs w:val="17"/>
        </w:rPr>
      </w:pPr>
      <w:bookmarkStart w:id="94" w:name="_Toc462401529"/>
      <w:bookmarkStart w:id="95" w:name="_Toc33527379"/>
      <w:bookmarkStart w:id="96" w:name="_Toc33528204"/>
      <w:r>
        <w:t>Titre IV : Election des sénateurs</w:t>
      </w:r>
      <w:bookmarkEnd w:id="94"/>
      <w:bookmarkEnd w:id="95"/>
      <w:bookmarkEnd w:id="96"/>
      <w:r>
        <w:t xml:space="preserve"> </w:t>
      </w:r>
    </w:p>
    <w:p w:rsidR="0010420B" w:rsidRDefault="0010420B" w:rsidP="0010420B">
      <w:pPr>
        <w:pStyle w:val="Titre2"/>
      </w:pPr>
      <w:bookmarkStart w:id="97" w:name="_Toc462401530"/>
      <w:r>
        <w:t>Chapitre V : Propagande</w:t>
      </w:r>
      <w:bookmarkEnd w:id="97"/>
    </w:p>
    <w:p w:rsidR="0010420B" w:rsidRDefault="0010420B" w:rsidP="0010420B">
      <w:r>
        <w:rPr>
          <w:b/>
          <w:bCs/>
          <w:color w:val="224466"/>
          <w:sz w:val="17"/>
          <w:szCs w:val="17"/>
        </w:rPr>
        <w:t xml:space="preserve">R. 154 </w:t>
      </w:r>
      <w:r>
        <w:t>DÉCRET n°2014-632 du 18 juin 2014 - art. 5 - NOR: INTA1408428D</w:t>
      </w:r>
    </w:p>
    <w:p w:rsidR="0010420B" w:rsidRDefault="0010420B" w:rsidP="0010420B">
      <w:r>
        <w:t>Le chapitre V bis, intitulé " Financement et plafonnement des dépenses électorales ", du titre Ier du livre Ier (partie réglementaire), est applicable aux candidats aux élections sénatoriales.</w:t>
      </w:r>
    </w:p>
    <w:p w:rsidR="0010420B" w:rsidRDefault="0010420B" w:rsidP="0010420B">
      <w:r>
        <w:rPr>
          <w:b/>
          <w:bCs/>
          <w:color w:val="224466"/>
          <w:sz w:val="17"/>
          <w:szCs w:val="17"/>
        </w:rPr>
        <w:t xml:space="preserve">R. 155 </w:t>
      </w:r>
      <w:r>
        <w:t>Décret n°2007-1670 du 26 novembre 2007 - art. 8 - JORF 28 novembre 2007 - NOR: IOCA0762473D</w:t>
      </w:r>
    </w:p>
    <w:p w:rsidR="0010420B" w:rsidRDefault="0010420B" w:rsidP="0010420B">
      <w:r>
        <w:t>Chaque candidat ou liste de candidats ne peut faire adresser à chaque électeur, par la commission de propagande, qu'une seule circulaire d'un grammage compris entre 60 et 80 grammes au mètre carré et d'un format de 210 mm x 297 mm.</w:t>
      </w:r>
    </w:p>
    <w:p w:rsidR="0010420B" w:rsidRDefault="0010420B" w:rsidP="0010420B">
      <w:r>
        <w:t>Les bulletins de vote doivent être d'un grammage compris entre 60 et 80 grammes au mètre carré et avoir les formats suivants :</w:t>
      </w:r>
    </w:p>
    <w:p w:rsidR="0010420B" w:rsidRDefault="0010420B" w:rsidP="0010420B">
      <w:r>
        <w:t>-148 x 210 mm pour les listes ;</w:t>
      </w:r>
    </w:p>
    <w:p w:rsidR="0010420B" w:rsidRDefault="0010420B" w:rsidP="0010420B">
      <w:r>
        <w:t>-105 x 148 mm pour les candidats isolés.</w:t>
      </w:r>
    </w:p>
    <w:p w:rsidR="0010420B" w:rsidRDefault="0010420B" w:rsidP="0010420B">
      <w:r>
        <w:t>Lorsque les élections ont lieu au scrutin majoritaire, les bulletins de vote doivent être établis en une seule couleur sur papier blanc et comporter, à la suite du nom du candidat, le nom de la personne appelée à remplacer le candidat élu dans les cas de vacance prévus par l'article LO. 319, précédé ou suivi de l'une des mentions suivantes : " remplaçant " ou " suppléant ". Le nom du remplaçant doit figurer en caractères de moindres dimensions que celui du candidat.</w:t>
      </w:r>
    </w:p>
    <w:p w:rsidR="0010420B" w:rsidRDefault="0010420B" w:rsidP="0010420B">
      <w:r>
        <w:t xml:space="preserve">Lorsque les élections ont lieu à la représentation proportionnelle, les bulletins de vote doivent être imprimés en une seule couleur sur papier blanc et comporter le titre de la liste, ainsi que le nom de chaque candidat composant la liste dans l'ordre de présentation. </w:t>
      </w:r>
    </w:p>
    <w:p w:rsidR="0010420B" w:rsidRDefault="0010420B" w:rsidP="0010420B">
      <w:r>
        <w:t>Les circulaires et les bulletins de vote mentionnés au présent article sont soustraits à la formalité du dépôt légal.</w:t>
      </w:r>
    </w:p>
    <w:p w:rsidR="0010420B" w:rsidRDefault="0010420B" w:rsidP="0010420B">
      <w:r>
        <w:rPr>
          <w:b/>
          <w:bCs/>
          <w:color w:val="224466"/>
          <w:sz w:val="17"/>
          <w:szCs w:val="17"/>
        </w:rPr>
        <w:t xml:space="preserve">R. 156 </w:t>
      </w:r>
      <w:r>
        <w:t>Décret n°2006-1244 du 11 octobre 2006 - art. 17 (V) JORF 13 octobre 2006 - NOR: INTA0600221D</w:t>
      </w:r>
    </w:p>
    <w:p w:rsidR="0010420B" w:rsidRDefault="0010420B" w:rsidP="0010420B">
      <w:r>
        <w:t xml:space="preserve">Les dispositions des articles </w:t>
      </w:r>
      <w:r>
        <w:rPr>
          <w:i/>
          <w:iCs/>
          <w:color w:val="224466"/>
        </w:rPr>
        <w:t xml:space="preserve">R. 27 </w:t>
      </w:r>
      <w:r>
        <w:t xml:space="preserve">et </w:t>
      </w:r>
      <w:r>
        <w:rPr>
          <w:i/>
          <w:iCs/>
          <w:color w:val="224466"/>
        </w:rPr>
        <w:t xml:space="preserve">R. 95 </w:t>
      </w:r>
      <w:r>
        <w:t>sont applicables.</w:t>
      </w:r>
    </w:p>
    <w:p w:rsidR="0010420B" w:rsidRDefault="0010420B" w:rsidP="0010420B">
      <w:r>
        <w:rPr>
          <w:b/>
          <w:bCs/>
          <w:color w:val="224466"/>
          <w:sz w:val="17"/>
          <w:szCs w:val="17"/>
        </w:rPr>
        <w:t xml:space="preserve">R. 157 </w:t>
      </w:r>
      <w:r>
        <w:t>Décret n°2013-938 du 18 octobre 2013 - art. 51 - NOR: INTA1315613D</w:t>
      </w:r>
    </w:p>
    <w:p w:rsidR="0010420B" w:rsidRDefault="0010420B" w:rsidP="0010420B">
      <w:r>
        <w:t>Au plus tard le troisième lundi précédant le scrutin, un arrêté préfectoral institue une commission de propagande qui est chargée :</w:t>
      </w:r>
    </w:p>
    <w:p w:rsidR="0010420B" w:rsidRDefault="0010420B" w:rsidP="0010420B">
      <w:r>
        <w:t>1° D'adresser, au plus tard le mercredi précédant le scrutin, à tous les membres du collège électoral une circulaire accompagnée d'un bulletin de vote de chaque candidat ou de chaque liste de candidats ;</w:t>
      </w:r>
    </w:p>
    <w:p w:rsidR="0010420B" w:rsidRDefault="0010420B" w:rsidP="0010420B">
      <w:r>
        <w:t>2° De mettre en place au lieu de l'élection et avant l'ouverture du scrutin les bulletins de vote de chaque candidat ou liste de candidats, en nombre au moins égal au nombre des membres du collège électoral ;</w:t>
      </w:r>
    </w:p>
    <w:p w:rsidR="0010420B" w:rsidRDefault="0010420B" w:rsidP="0010420B">
      <w:r>
        <w:t>3° De mettre en place, dans les départements où a lieu un second tour de scrutin et si au moins un candidat ou une liste n'a pas déposé de bulletins de vote avant l'ouverture du scrutin, un nombre de bulletins en blanc correspondant au nombre d'électeurs inscrits.</w:t>
      </w:r>
    </w:p>
    <w:p w:rsidR="0010420B" w:rsidRDefault="0010420B" w:rsidP="0010420B">
      <w:r>
        <w:lastRenderedPageBreak/>
        <w:t xml:space="preserve">Les dispositions de l'article </w:t>
      </w:r>
      <w:r>
        <w:rPr>
          <w:i/>
          <w:iCs/>
          <w:color w:val="224466"/>
        </w:rPr>
        <w:t xml:space="preserve">R. 155 </w:t>
      </w:r>
      <w:r>
        <w:t>et du présent article relatives aux bulletins de vote ne sont pas applicables dans les départements où il est fait utilisation d'une machine à voter.</w:t>
      </w:r>
    </w:p>
    <w:p w:rsidR="0010420B" w:rsidRDefault="0010420B" w:rsidP="0010420B">
      <w:r>
        <w:rPr>
          <w:b/>
          <w:bCs/>
          <w:color w:val="224466"/>
          <w:sz w:val="17"/>
          <w:szCs w:val="17"/>
        </w:rPr>
        <w:t xml:space="preserve">R. 158 </w:t>
      </w:r>
      <w:r>
        <w:t>Décret n°2013-938 du 18 octobre 2013 - art. 52 - NOR: INTA1315613D</w:t>
      </w:r>
    </w:p>
    <w:p w:rsidR="0010420B" w:rsidRDefault="0010420B" w:rsidP="0010420B">
      <w:r>
        <w:t>Cette commission, instituée par arrêté préfectoral, comprend :</w:t>
      </w:r>
    </w:p>
    <w:p w:rsidR="0010420B" w:rsidRDefault="0010420B" w:rsidP="0010420B">
      <w:r>
        <w:t>- un magistrat désigné par le premier président de la cour d'appel, président ;</w:t>
      </w:r>
    </w:p>
    <w:p w:rsidR="0010420B" w:rsidRDefault="0010420B" w:rsidP="0010420B">
      <w:r>
        <w:t>- un fonctionnaire désigné par préfet ;</w:t>
      </w:r>
    </w:p>
    <w:p w:rsidR="0010420B" w:rsidRDefault="0010420B" w:rsidP="0010420B">
      <w:r>
        <w:t>- un représentant de l'opérateur chargé de l'envoi de la propagande.</w:t>
      </w:r>
    </w:p>
    <w:p w:rsidR="0010420B" w:rsidRDefault="0010420B" w:rsidP="0010420B">
      <w:r>
        <w:t>Un suppléant du président et de chaque membre peut être désigné dans les mêmes conditions.</w:t>
      </w:r>
    </w:p>
    <w:p w:rsidR="0010420B" w:rsidRDefault="0010420B" w:rsidP="0010420B">
      <w:r>
        <w:t>Chaque candidat ou liste de candidats peut désigner un mandataire qui participe aux travaux de la commission avec voix consultative.</w:t>
      </w:r>
    </w:p>
    <w:p w:rsidR="0010420B" w:rsidRDefault="0010420B" w:rsidP="0010420B">
      <w:r>
        <w:t>Le secrétariat est assuré par un fonctionnaire désigné par le préfet.</w:t>
      </w:r>
    </w:p>
    <w:p w:rsidR="0010420B" w:rsidRDefault="0010420B" w:rsidP="0010420B">
      <w:r>
        <w:rPr>
          <w:b/>
          <w:bCs/>
          <w:color w:val="224466"/>
          <w:sz w:val="17"/>
          <w:szCs w:val="17"/>
        </w:rPr>
        <w:t xml:space="preserve">R. 159 </w:t>
      </w:r>
      <w:r>
        <w:t>Décret n°2007-1670 du 26 novembre 2007 - art. 8 - JORF 28 novembre 2007 - NOR: IOCA0762473D</w:t>
      </w:r>
    </w:p>
    <w:p w:rsidR="0010420B" w:rsidRDefault="0010420B" w:rsidP="0010420B">
      <w:r>
        <w:t xml:space="preserve">Chaque candidat ou liste de candidats souhaitant bénéficier des dispositions de l'article </w:t>
      </w:r>
      <w:r>
        <w:rPr>
          <w:i/>
          <w:iCs/>
          <w:color w:val="224466"/>
        </w:rPr>
        <w:t xml:space="preserve">R. 157 </w:t>
      </w:r>
      <w:r>
        <w:t>doit remettre au président de la commission de propagande une quantité de circulaires au moins égale au nombre des électeurs inscrits et une quantité de bulletins au moins égale au double du nombre des électeurs inscrits, au plus tard le lundi précédant la date du scrutin à dix-huit heures.</w:t>
      </w:r>
    </w:p>
    <w:p w:rsidR="0010420B" w:rsidRDefault="0010420B" w:rsidP="0010420B">
      <w:r>
        <w:t xml:space="preserve">La commission n'est pas tenue d'assurer l'envoi des circulaires et bulletins remis postérieurement à cette date ni ceux dont le format, le libellé ou l'impression ne sont pas conformes à l'article </w:t>
      </w:r>
      <w:r>
        <w:rPr>
          <w:i/>
          <w:iCs/>
          <w:color w:val="224466"/>
        </w:rPr>
        <w:t>R. 155</w:t>
      </w:r>
      <w:r>
        <w:t>.</w:t>
      </w:r>
    </w:p>
    <w:p w:rsidR="0010420B" w:rsidRDefault="0010420B" w:rsidP="0010420B">
      <w:r>
        <w:rPr>
          <w:b/>
          <w:bCs/>
          <w:color w:val="224466"/>
          <w:sz w:val="17"/>
          <w:szCs w:val="17"/>
        </w:rPr>
        <w:t xml:space="preserve">R. 160 </w:t>
      </w:r>
      <w:r>
        <w:t>Décret n°2007-76 du 23 janvier 2007 - art. 2 - JORF 24 janvier 2007 - NOR: INTA0700012D</w:t>
      </w:r>
    </w:p>
    <w:p w:rsidR="0010420B" w:rsidRDefault="0010420B" w:rsidP="0010420B">
      <w:r>
        <w:t xml:space="preserve">Sur présentation des pièces justificatives, les frais d'impression ou de reproduction des circulaires et des bulletins de vote mentionnés aux articles </w:t>
      </w:r>
      <w:r>
        <w:rPr>
          <w:i/>
          <w:iCs/>
          <w:color w:val="224466"/>
        </w:rPr>
        <w:t>R. 155</w:t>
      </w:r>
      <w:r>
        <w:t xml:space="preserve">, </w:t>
      </w:r>
      <w:r>
        <w:rPr>
          <w:i/>
          <w:iCs/>
          <w:color w:val="224466"/>
        </w:rPr>
        <w:t xml:space="preserve">R. 157 </w:t>
      </w:r>
      <w:r>
        <w:t xml:space="preserve">et </w:t>
      </w:r>
      <w:r>
        <w:rPr>
          <w:i/>
          <w:iCs/>
          <w:color w:val="224466"/>
        </w:rPr>
        <w:t xml:space="preserve">R. 161 </w:t>
      </w:r>
      <w:r>
        <w:t xml:space="preserve">sont remboursés aux candidats ou aux listes remplissant les conditions fixées au dernier alinéa de l'article </w:t>
      </w:r>
      <w:r>
        <w:rPr>
          <w:i/>
          <w:iCs/>
          <w:color w:val="224466"/>
        </w:rPr>
        <w:t>L. 308</w:t>
      </w:r>
      <w:r>
        <w:t>.</w:t>
      </w:r>
    </w:p>
    <w:p w:rsidR="0010420B" w:rsidRDefault="0010420B" w:rsidP="0010420B">
      <w:r>
        <w:t xml:space="preserve">Le remboursement des frais d'impression ou de reproduction n'est effectué, sur présentation de pièces justificatives, que pour les circulaires et les bulletins de vote produits à partir de papier de qualité écologique répondant au moins à l'un des critères mentionnés à l'article </w:t>
      </w:r>
      <w:r>
        <w:rPr>
          <w:i/>
          <w:iCs/>
          <w:color w:val="224466"/>
        </w:rPr>
        <w:t>R. 39</w:t>
      </w:r>
      <w:r>
        <w:t>.</w:t>
      </w:r>
    </w:p>
    <w:p w:rsidR="0010420B" w:rsidRDefault="0010420B" w:rsidP="0010420B">
      <w:r>
        <w:rPr>
          <w:b/>
          <w:bCs/>
          <w:color w:val="224466"/>
          <w:sz w:val="17"/>
          <w:szCs w:val="17"/>
        </w:rPr>
        <w:t xml:space="preserve">R. 161 </w:t>
      </w:r>
      <w:r>
        <w:t>Décret n°2006-1244 du 11 octobre 2006 - art. 11 - JORF 13 octobre 2006 - NOR: INTA0600221D</w:t>
      </w:r>
    </w:p>
    <w:p w:rsidR="0010420B" w:rsidRDefault="0010420B" w:rsidP="0010420B">
      <w:r>
        <w:t xml:space="preserve">Chaque candidat ou chaque liste de candidats qui n'aura pas manifesté l'intention de bénéficier des dispositions prévues à l'article </w:t>
      </w:r>
      <w:r>
        <w:rPr>
          <w:i/>
          <w:iCs/>
          <w:color w:val="224466"/>
        </w:rPr>
        <w:t xml:space="preserve">R. 157 </w:t>
      </w:r>
      <w:r>
        <w:t xml:space="preserve">pourra déposer lui-même ou faire déposer par son mandataire, à l'entrée du bureau de vote et au début de chaque tour, autant de bulletins qu'il y a d'électeurs inscrits dans chaque collège. Le format de ces bulletins est celui prévu à l'article </w:t>
      </w:r>
      <w:r>
        <w:rPr>
          <w:i/>
          <w:iCs/>
          <w:color w:val="224466"/>
        </w:rPr>
        <w:t>R. 155</w:t>
      </w:r>
      <w:r>
        <w:t>.</w:t>
      </w:r>
    </w:p>
    <w:p w:rsidR="0010420B" w:rsidRDefault="0010420B" w:rsidP="0010420B">
      <w:r>
        <w:t>Le candidat ou son mandataire peut, à tout moment, demander le retrait de ses bulletins de vote. Pour les scrutins de liste, cette demande peut être formulée par l'ensemble des candidats de la liste ou un mandataire désigné par eux.</w:t>
      </w:r>
    </w:p>
    <w:p w:rsidR="0010420B" w:rsidRDefault="0010420B" w:rsidP="0010420B"/>
    <w:p w:rsidR="0010420B" w:rsidRDefault="0010420B" w:rsidP="0010420B">
      <w:pPr>
        <w:pStyle w:val="Titre1"/>
        <w:rPr>
          <w:sz w:val="17"/>
          <w:szCs w:val="17"/>
        </w:rPr>
      </w:pPr>
      <w:bookmarkStart w:id="98" w:name="_Toc462401531"/>
      <w:bookmarkStart w:id="99" w:name="_Toc33527380"/>
      <w:bookmarkStart w:id="100" w:name="_Toc33528205"/>
      <w:r>
        <w:t>Livre III : Dispositions spécifiques aux députés élus par les Français établis hors de France</w:t>
      </w:r>
      <w:bookmarkEnd w:id="98"/>
      <w:bookmarkEnd w:id="99"/>
      <w:bookmarkEnd w:id="100"/>
    </w:p>
    <w:p w:rsidR="0010420B" w:rsidRDefault="0010420B" w:rsidP="0010420B">
      <w:pPr>
        <w:pStyle w:val="Titre2"/>
      </w:pPr>
      <w:bookmarkStart w:id="101" w:name="_Toc462401532"/>
      <w:r>
        <w:t>Section 3 : Campagne électorale</w:t>
      </w:r>
      <w:bookmarkEnd w:id="101"/>
    </w:p>
    <w:p w:rsidR="0010420B" w:rsidRDefault="0010420B" w:rsidP="0010420B">
      <w:r>
        <w:rPr>
          <w:b/>
          <w:bCs/>
          <w:color w:val="224466"/>
          <w:sz w:val="17"/>
          <w:szCs w:val="17"/>
        </w:rPr>
        <w:t xml:space="preserve">R. 174 </w:t>
      </w:r>
      <w:r>
        <w:t>Décret n°2011-843 du 15 juillet 2011 - art. 1 - NOR: IOCA1111908D</w:t>
      </w:r>
    </w:p>
    <w:p w:rsidR="0010420B" w:rsidRDefault="0010420B" w:rsidP="0010420B">
      <w:r>
        <w:t xml:space="preserve">Sous réserve des dispositions de la présente section, les articles </w:t>
      </w:r>
      <w:r>
        <w:rPr>
          <w:i/>
          <w:iCs/>
          <w:color w:val="224466"/>
        </w:rPr>
        <w:t>R. 26</w:t>
      </w:r>
      <w:r>
        <w:t xml:space="preserve">, </w:t>
      </w:r>
      <w:r>
        <w:rPr>
          <w:i/>
          <w:iCs/>
          <w:color w:val="224466"/>
        </w:rPr>
        <w:t>R. 27</w:t>
      </w:r>
      <w:r>
        <w:t xml:space="preserve">, </w:t>
      </w:r>
      <w:r>
        <w:rPr>
          <w:i/>
          <w:iCs/>
          <w:color w:val="224466"/>
        </w:rPr>
        <w:t xml:space="preserve">R. 28 </w:t>
      </w:r>
      <w:r>
        <w:t xml:space="preserve">(quatrième alinéa), R. 29, R. 30, </w:t>
      </w:r>
      <w:r>
        <w:rPr>
          <w:i/>
          <w:iCs/>
          <w:color w:val="224466"/>
        </w:rPr>
        <w:t xml:space="preserve">R. 33 </w:t>
      </w:r>
      <w:r>
        <w:t xml:space="preserve">(premier alinéa), R. 34 (à l'exception du cinquième alinéa), </w:t>
      </w:r>
      <w:r>
        <w:rPr>
          <w:i/>
          <w:iCs/>
          <w:color w:val="224466"/>
        </w:rPr>
        <w:t>R. 36</w:t>
      </w:r>
      <w:r>
        <w:t xml:space="preserve">, </w:t>
      </w:r>
      <w:r>
        <w:rPr>
          <w:i/>
          <w:iCs/>
          <w:color w:val="224466"/>
        </w:rPr>
        <w:t xml:space="preserve">R. 38 </w:t>
      </w:r>
      <w:r>
        <w:t xml:space="preserve">(à l'exception du quatrième alinéa), </w:t>
      </w:r>
      <w:r>
        <w:rPr>
          <w:i/>
          <w:iCs/>
          <w:color w:val="224466"/>
        </w:rPr>
        <w:t xml:space="preserve">R. 39 </w:t>
      </w:r>
      <w:r>
        <w:t>(à l'exception du sixième au onzième alinéas) et R. 103 sont applicables à l'élection de députés par les Français établis hors de France.</w:t>
      </w:r>
    </w:p>
    <w:p w:rsidR="0010420B" w:rsidRDefault="0010420B" w:rsidP="0010420B">
      <w:r>
        <w:rPr>
          <w:b/>
          <w:bCs/>
          <w:color w:val="224466"/>
          <w:sz w:val="17"/>
          <w:szCs w:val="17"/>
        </w:rPr>
        <w:t xml:space="preserve">R. 174-1 </w:t>
      </w:r>
      <w:r>
        <w:t>Décret n°2011-843 du 15 juillet 2011 - art. 1 - NOR: IOCA1111908D</w:t>
      </w:r>
    </w:p>
    <w:p w:rsidR="0010420B" w:rsidRDefault="0010420B" w:rsidP="0010420B">
      <w:r>
        <w:t xml:space="preserve">Pour l'application des articles </w:t>
      </w:r>
      <w:r>
        <w:rPr>
          <w:i/>
          <w:iCs/>
          <w:color w:val="224466"/>
        </w:rPr>
        <w:t>R. 29</w:t>
      </w:r>
      <w:r>
        <w:t xml:space="preserve">, </w:t>
      </w:r>
      <w:r>
        <w:rPr>
          <w:i/>
          <w:iCs/>
          <w:color w:val="224466"/>
        </w:rPr>
        <w:t>R. 34</w:t>
      </w:r>
      <w:r>
        <w:t xml:space="preserve">, </w:t>
      </w:r>
      <w:r>
        <w:rPr>
          <w:i/>
          <w:iCs/>
          <w:color w:val="224466"/>
        </w:rPr>
        <w:t xml:space="preserve">R. 36 </w:t>
      </w:r>
      <w:r>
        <w:t xml:space="preserve">et </w:t>
      </w:r>
      <w:r>
        <w:rPr>
          <w:i/>
          <w:iCs/>
          <w:color w:val="224466"/>
        </w:rPr>
        <w:t>R. 38</w:t>
      </w:r>
      <w:r>
        <w:t xml:space="preserve">, la commission électorale mentionnée à l'article </w:t>
      </w:r>
      <w:r>
        <w:rPr>
          <w:i/>
          <w:iCs/>
          <w:color w:val="224466"/>
        </w:rPr>
        <w:t xml:space="preserve">L.330-6 </w:t>
      </w:r>
      <w:r>
        <w:t>est substituée à la commission de propagande.</w:t>
      </w:r>
    </w:p>
    <w:p w:rsidR="0010420B" w:rsidRDefault="0010420B" w:rsidP="0010420B">
      <w:r>
        <w:t>En outre :</w:t>
      </w:r>
    </w:p>
    <w:p w:rsidR="0010420B" w:rsidRDefault="0010420B" w:rsidP="0010420B">
      <w:r>
        <w:t xml:space="preserve">1° Pour l'application de l'article </w:t>
      </w:r>
      <w:r>
        <w:rPr>
          <w:i/>
          <w:iCs/>
          <w:color w:val="224466"/>
        </w:rPr>
        <w:t>R. 34</w:t>
      </w:r>
      <w:r>
        <w:t>, le ministre des affaires étrangères est substitué au préfet et il y a lieu de lire : " deuxième mardi " au lieu de : " mercredi ", " deuxième jeudi " au lieu de : " jeudi " et " ambassade ou poste consulaire " au lieu de : " mairie " ;</w:t>
      </w:r>
    </w:p>
    <w:p w:rsidR="0010420B" w:rsidRDefault="0010420B" w:rsidP="0010420B">
      <w:r>
        <w:lastRenderedPageBreak/>
        <w:t xml:space="preserve">2° Pour l'application de l'article </w:t>
      </w:r>
      <w:r>
        <w:rPr>
          <w:i/>
          <w:iCs/>
          <w:color w:val="224466"/>
        </w:rPr>
        <w:t>R. 36</w:t>
      </w:r>
      <w:r>
        <w:t>, le ministre de l'intérieur est substitué au préfet ;</w:t>
      </w:r>
    </w:p>
    <w:p w:rsidR="0010420B" w:rsidRDefault="0010420B" w:rsidP="0010420B">
      <w:r>
        <w:t xml:space="preserve">3° Pour l'application de l'article </w:t>
      </w:r>
      <w:r>
        <w:rPr>
          <w:i/>
          <w:iCs/>
          <w:color w:val="224466"/>
        </w:rPr>
        <w:t>R. 38</w:t>
      </w:r>
      <w:r>
        <w:t>, la date limite prévue au premier alinéa est fixée par arrêté conjoint du ministre de l'intérieur et du ministre des affaires étrangères.</w:t>
      </w:r>
    </w:p>
    <w:p w:rsidR="0010420B" w:rsidRDefault="0010420B" w:rsidP="0010420B">
      <w:r>
        <w:rPr>
          <w:b/>
          <w:bCs/>
          <w:color w:val="224466"/>
          <w:sz w:val="17"/>
          <w:szCs w:val="17"/>
        </w:rPr>
        <w:t xml:space="preserve">R. 174-2 </w:t>
      </w:r>
      <w:r>
        <w:t>Décret n°2011-843 du 15 juillet 2011 - art. 1 - NOR: IOCA1111908D</w:t>
      </w:r>
    </w:p>
    <w:p w:rsidR="0010420B" w:rsidRDefault="0010420B" w:rsidP="0010420B">
      <w:r>
        <w:t>Chaque candidat peut remettre au président de la commission électorale une version électronique de sa circulaire, du même modèle et dans les mêmes conditions que les exemplaires imprimés.</w:t>
      </w:r>
    </w:p>
    <w:p w:rsidR="0010420B" w:rsidRDefault="0010420B" w:rsidP="0010420B">
      <w:r>
        <w:t>La commission électorale transmet ces documents dématérialisés aux ambassades et aux postes consulaires qui procèdent sans délai à leur mise à disposition par téléchargement par voie électronique.</w:t>
      </w:r>
    </w:p>
    <w:p w:rsidR="0010420B" w:rsidRDefault="0010420B" w:rsidP="0010420B">
      <w:r>
        <w:rPr>
          <w:b/>
          <w:bCs/>
          <w:color w:val="224466"/>
          <w:sz w:val="17"/>
          <w:szCs w:val="17"/>
        </w:rPr>
        <w:t xml:space="preserve">R. 174-3 </w:t>
      </w:r>
      <w:r>
        <w:t>Décret n°2011-843 du 15 juillet 2011 - art. 1 - NOR: IOCA1111908D</w:t>
      </w:r>
    </w:p>
    <w:p w:rsidR="0010420B" w:rsidRDefault="0010420B" w:rsidP="0010420B">
      <w:r>
        <w:t xml:space="preserve">Pour l'application de l'article </w:t>
      </w:r>
      <w:r>
        <w:rPr>
          <w:i/>
          <w:iCs/>
          <w:color w:val="224466"/>
        </w:rPr>
        <w:t xml:space="preserve">R. 39 </w:t>
      </w:r>
      <w:r>
        <w:t>:</w:t>
      </w:r>
    </w:p>
    <w:p w:rsidR="0010420B" w:rsidRDefault="0010420B" w:rsidP="0010420B">
      <w:r>
        <w:t xml:space="preserve">1° La référence à l'article </w:t>
      </w:r>
      <w:r>
        <w:rPr>
          <w:i/>
          <w:iCs/>
          <w:color w:val="224466"/>
        </w:rPr>
        <w:t xml:space="preserve">L. 51 </w:t>
      </w:r>
      <w:r>
        <w:t xml:space="preserve">s'entend de la référence à l'article </w:t>
      </w:r>
      <w:r>
        <w:rPr>
          <w:i/>
          <w:iCs/>
          <w:color w:val="224466"/>
        </w:rPr>
        <w:t xml:space="preserve">L. 330-6 </w:t>
      </w:r>
      <w:r>
        <w:t>;</w:t>
      </w:r>
    </w:p>
    <w:p w:rsidR="0010420B" w:rsidRDefault="0010420B" w:rsidP="0010420B">
      <w:r>
        <w:t>2° Les tarifs d'impression et d'affichage sont fixés par arrêté conjoint du ministre de l'intérieur et du ministre des affaires étrangères ;</w:t>
      </w:r>
    </w:p>
    <w:p w:rsidR="0010420B" w:rsidRDefault="0010420B" w:rsidP="0010420B">
      <w:r>
        <w:t>3° Au treizième alinéa, il y a lieu de lire : " circonscription ” au lieu de : " département ”, " celle ” au lieu de : " celui ” et " circonscriptions ” au lieu de : " départements ”.</w:t>
      </w:r>
    </w:p>
    <w:p w:rsidR="0010420B" w:rsidRDefault="0010420B" w:rsidP="0010420B">
      <w:r>
        <w:rPr>
          <w:b/>
          <w:bCs/>
          <w:color w:val="224466"/>
          <w:sz w:val="17"/>
          <w:szCs w:val="17"/>
        </w:rPr>
        <w:t xml:space="preserve">R. 174-4 </w:t>
      </w:r>
      <w:r>
        <w:t>Décret n°2011-843 du 15 juillet 2011 - art. 1 - NOR: IOCA1111908D</w:t>
      </w:r>
    </w:p>
    <w:p w:rsidR="0010420B" w:rsidRDefault="0010420B" w:rsidP="0010420B">
      <w:r>
        <w:t xml:space="preserve">Les dépenses et remboursements prévus par l'article </w:t>
      </w:r>
      <w:r>
        <w:rPr>
          <w:i/>
          <w:iCs/>
          <w:color w:val="224466"/>
        </w:rPr>
        <w:t xml:space="preserve">L. 167 </w:t>
      </w:r>
      <w:r>
        <w:t>sont effectués par le ministre de l'intérieur.</w:t>
      </w:r>
    </w:p>
    <w:p w:rsidR="0010420B" w:rsidRDefault="0010420B" w:rsidP="0010420B">
      <w:pPr>
        <w:pStyle w:val="Titre1"/>
      </w:pPr>
      <w:bookmarkStart w:id="102" w:name="_Toc462401533"/>
      <w:bookmarkStart w:id="103" w:name="_Toc33527381"/>
      <w:bookmarkStart w:id="104" w:name="_Toc33528206"/>
      <w:r>
        <w:t>Livre IV : Election des conseillers régionaux et des conseillers à l'Assemblée de Corse</w:t>
      </w:r>
      <w:bookmarkEnd w:id="102"/>
      <w:bookmarkEnd w:id="103"/>
      <w:bookmarkEnd w:id="104"/>
      <w:r>
        <w:t xml:space="preserve"> </w:t>
      </w:r>
    </w:p>
    <w:p w:rsidR="0010420B" w:rsidRDefault="0010420B" w:rsidP="0010420B">
      <w:pPr>
        <w:pStyle w:val="Titre2"/>
      </w:pPr>
      <w:bookmarkStart w:id="105" w:name="_Toc462401534"/>
      <w:r>
        <w:t>Chapitre VI : Propagande</w:t>
      </w:r>
      <w:bookmarkEnd w:id="105"/>
    </w:p>
    <w:p w:rsidR="0010420B" w:rsidRDefault="0010420B" w:rsidP="0010420B">
      <w:r>
        <w:rPr>
          <w:b/>
          <w:bCs/>
          <w:color w:val="224466"/>
          <w:sz w:val="17"/>
          <w:szCs w:val="17"/>
        </w:rPr>
        <w:t xml:space="preserve">R. 186 </w:t>
      </w:r>
      <w:r>
        <w:t>Décret n°2004-30 du 9 janvier 2004 - art. 4 - JORF 10 janvier 2004 - NOR: INTA0300303D</w:t>
      </w:r>
    </w:p>
    <w:p w:rsidR="0010420B" w:rsidRDefault="0010420B" w:rsidP="0010420B">
      <w:r>
        <w:t xml:space="preserve">Les bulletins de vote comportent le titre de la liste, les nom et prénoms du candidat désigné tête de liste ainsi que les nom et prénoms de chacun des candidats composant la liste, répartis par section départementale et dans l'ordre de présentation tel qu'il résulte de la publication prévue par l'article </w:t>
      </w:r>
      <w:r>
        <w:rPr>
          <w:i/>
          <w:iCs/>
          <w:color w:val="224466"/>
        </w:rPr>
        <w:t>R. 184</w:t>
      </w:r>
      <w:r>
        <w:t>.</w:t>
      </w:r>
    </w:p>
    <w:p w:rsidR="0010420B" w:rsidRDefault="0010420B" w:rsidP="0010420B"/>
    <w:p w:rsidR="0010420B" w:rsidRDefault="0010420B" w:rsidP="0010420B">
      <w:pPr>
        <w:pStyle w:val="Titre1"/>
        <w:rPr>
          <w:sz w:val="17"/>
          <w:szCs w:val="17"/>
        </w:rPr>
      </w:pPr>
      <w:bookmarkStart w:id="106" w:name="_Toc462401535"/>
      <w:bookmarkStart w:id="107" w:name="_Toc33527382"/>
      <w:bookmarkStart w:id="108" w:name="_Toc33528207"/>
      <w:r>
        <w:t>Titre V : Dispositions applicables à l'élection des membres de l'assemblée territoriale des îles Wallis et Futuna</w:t>
      </w:r>
      <w:bookmarkEnd w:id="106"/>
      <w:bookmarkEnd w:id="107"/>
      <w:bookmarkEnd w:id="108"/>
    </w:p>
    <w:p w:rsidR="0010420B" w:rsidRDefault="0010420B" w:rsidP="0010420B">
      <w:pPr>
        <w:pStyle w:val="Titre2"/>
      </w:pPr>
      <w:bookmarkStart w:id="109" w:name="_Toc462401536"/>
      <w:r>
        <w:t>Chapitre II : Propagande</w:t>
      </w:r>
      <w:bookmarkEnd w:id="109"/>
    </w:p>
    <w:p w:rsidR="0010420B" w:rsidRDefault="0010420B" w:rsidP="0010420B">
      <w:r>
        <w:rPr>
          <w:b/>
          <w:bCs/>
          <w:color w:val="224466"/>
          <w:sz w:val="17"/>
          <w:szCs w:val="17"/>
        </w:rPr>
        <w:t xml:space="preserve">R. 259 </w:t>
      </w:r>
      <w:r>
        <w:t>Décret n°2002-105 du 25 janvier 2002 - art. 2 - JORF 26 janvier 2002 - NOR: INTM0200001D</w:t>
      </w:r>
    </w:p>
    <w:p w:rsidR="0010420B" w:rsidRDefault="0010420B" w:rsidP="0010420B">
      <w:r>
        <w:t xml:space="preserve">La commission de propagande prévue à l'article </w:t>
      </w:r>
      <w:r>
        <w:rPr>
          <w:i/>
          <w:iCs/>
          <w:color w:val="224466"/>
        </w:rPr>
        <w:t xml:space="preserve">L. 424 </w:t>
      </w:r>
      <w:r>
        <w:t>est instituée dans chaque circonscription par arrêté de l'administrateur supérieur publié au Journal officiel du territoire.</w:t>
      </w:r>
    </w:p>
    <w:p w:rsidR="0010420B" w:rsidRDefault="0010420B" w:rsidP="0010420B">
      <w:r>
        <w:rPr>
          <w:b/>
          <w:bCs/>
          <w:color w:val="224466"/>
          <w:sz w:val="17"/>
          <w:szCs w:val="17"/>
        </w:rPr>
        <w:t xml:space="preserve">R. 260 </w:t>
      </w:r>
      <w:r>
        <w:t>Décret n°2002-105 du 25 janvier 2002 - art. 2 - JORF 26 janvier 2002 - NOR: INTM0200001D</w:t>
      </w:r>
    </w:p>
    <w:p w:rsidR="0010420B" w:rsidRDefault="0010420B" w:rsidP="0010420B">
      <w:r>
        <w:t xml:space="preserve">Les bulletins de vote doivent être imprimés sur du papier de la couleur choisie par la liste ou déterminée en application des dispositions de l'article </w:t>
      </w:r>
      <w:r>
        <w:rPr>
          <w:i/>
          <w:iCs/>
          <w:color w:val="224466"/>
        </w:rPr>
        <w:t>R. 209</w:t>
      </w:r>
      <w:r>
        <w:t>.</w:t>
      </w:r>
    </w:p>
    <w:p w:rsidR="0010420B" w:rsidRDefault="0010420B" w:rsidP="0010420B">
      <w:r>
        <w:t>Les bulletins de vote qui ne répondent pas aux conditions prévues à l'alinéa précédent ne sont pas acceptés par la commission de propagande.</w:t>
      </w:r>
    </w:p>
    <w:p w:rsidR="0010420B" w:rsidRDefault="0010420B" w:rsidP="0010420B"/>
    <w:p w:rsidR="0010420B" w:rsidRDefault="0010420B" w:rsidP="0010420B">
      <w:pPr>
        <w:pStyle w:val="Titre1"/>
      </w:pPr>
      <w:bookmarkStart w:id="110" w:name="_Toc462401537"/>
      <w:bookmarkStart w:id="111" w:name="_Toc33527383"/>
      <w:bookmarkStart w:id="112" w:name="_Toc33528208"/>
      <w:r>
        <w:t>Titre VII : Dispositions applicables à l'élection des sénateurs en Nouvelle-Calédonie, en Polynésie française et dans les îles Wallis et Futuna</w:t>
      </w:r>
      <w:bookmarkEnd w:id="110"/>
      <w:bookmarkEnd w:id="111"/>
      <w:bookmarkEnd w:id="112"/>
    </w:p>
    <w:p w:rsidR="0010420B" w:rsidRDefault="0010420B" w:rsidP="0010420B">
      <w:pPr>
        <w:pStyle w:val="Titre2"/>
      </w:pPr>
      <w:bookmarkStart w:id="113" w:name="_Toc462401538"/>
      <w:r>
        <w:t>Chapitre IV : Propagande</w:t>
      </w:r>
      <w:bookmarkEnd w:id="113"/>
    </w:p>
    <w:p w:rsidR="0010420B" w:rsidRDefault="0010420B" w:rsidP="0010420B">
      <w:r>
        <w:rPr>
          <w:b/>
          <w:bCs/>
          <w:color w:val="224466"/>
          <w:sz w:val="17"/>
          <w:szCs w:val="17"/>
        </w:rPr>
        <w:lastRenderedPageBreak/>
        <w:t xml:space="preserve">R. 277 </w:t>
      </w:r>
      <w:r>
        <w:t>Décret n°2006-1244 du 11 octobre 2006 - art. 6 - JORF 13 octobre 2006 - NOR: INTA0600221D</w:t>
      </w:r>
    </w:p>
    <w:p w:rsidR="0010420B" w:rsidRDefault="0010420B" w:rsidP="0010420B">
      <w:r>
        <w:t xml:space="preserve">Pour l'application en Polynésie française du 1° de l'article </w:t>
      </w:r>
      <w:r>
        <w:rPr>
          <w:i/>
          <w:iCs/>
          <w:color w:val="224466"/>
        </w:rPr>
        <w:t xml:space="preserve">R. 157 </w:t>
      </w:r>
      <w:r>
        <w:t>:</w:t>
      </w:r>
    </w:p>
    <w:p w:rsidR="0010420B" w:rsidRDefault="0010420B" w:rsidP="0010420B">
      <w:r>
        <w:t>1° Les circulaires et les bulletins de vote peuvent être adressés par les candidats aux membres du collège électoral par la voie du courrier électronique ou mis à leur disposition par l'intermédiaire du réseau internet lorsque les modalités d'acheminement du courrier par voie postale dans certains archipels ne permettent pas la réception de ces documents dans le délai de quatre jours ;</w:t>
      </w:r>
    </w:p>
    <w:p w:rsidR="0010420B" w:rsidRDefault="0010420B" w:rsidP="0010420B">
      <w:r>
        <w:t>2° L'enveloppe fermée contenant la circulaire et les bulletins de vote peut être remise en mains propres aux membres du collège électoral avant le vote.</w:t>
      </w:r>
    </w:p>
    <w:p w:rsidR="0010420B" w:rsidRDefault="0010420B" w:rsidP="0010420B">
      <w:pPr>
        <w:pStyle w:val="Titre1"/>
        <w:rPr>
          <w:sz w:val="17"/>
          <w:szCs w:val="17"/>
        </w:rPr>
      </w:pPr>
      <w:bookmarkStart w:id="114" w:name="_Toc462401539"/>
      <w:bookmarkStart w:id="115" w:name="_Toc33527384"/>
      <w:bookmarkStart w:id="116" w:name="_Toc33528209"/>
      <w:r>
        <w:t>Livre VI bis : Election des conseillers à l'assemblée de Guyane et des conseillers à l'assemblée de Martinique</w:t>
      </w:r>
      <w:bookmarkEnd w:id="114"/>
      <w:bookmarkEnd w:id="115"/>
      <w:bookmarkEnd w:id="116"/>
    </w:p>
    <w:p w:rsidR="0010420B" w:rsidRDefault="0010420B" w:rsidP="0010420B">
      <w:pPr>
        <w:pStyle w:val="Titre2"/>
      </w:pPr>
      <w:bookmarkStart w:id="117" w:name="_Toc462401540"/>
      <w:r>
        <w:t>Chapitre IV : Propagande</w:t>
      </w:r>
      <w:bookmarkEnd w:id="117"/>
    </w:p>
    <w:p w:rsidR="0010420B" w:rsidRDefault="0010420B" w:rsidP="0010420B">
      <w:r>
        <w:rPr>
          <w:b/>
          <w:bCs/>
          <w:color w:val="224466"/>
          <w:sz w:val="17"/>
          <w:szCs w:val="17"/>
        </w:rPr>
        <w:t xml:space="preserve">R. 353 </w:t>
      </w:r>
      <w:r>
        <w:t>Décret n°2012-105 du 27 janvier 2012 - art. 1 - NOR: OMEO1135838D</w:t>
      </w:r>
    </w:p>
    <w:p w:rsidR="0010420B" w:rsidRDefault="0010420B" w:rsidP="0010420B">
      <w:r>
        <w:t xml:space="preserve">Les bulletins de vote comportent le titre de la liste, les nom et prénoms du candidat désigné tête de liste ainsi que les nom et prénoms de chacun des candidats composant la liste, répartis par section électorale et dans l'ordre de présentation tel qu'il résulte de la publication prévue par l'article </w:t>
      </w:r>
      <w:r>
        <w:rPr>
          <w:i/>
          <w:iCs/>
          <w:color w:val="224466"/>
        </w:rPr>
        <w:t>R. 352</w:t>
      </w:r>
      <w:r>
        <w:t>.</w:t>
      </w:r>
    </w:p>
    <w:p w:rsidR="0010420B" w:rsidRDefault="0010420B" w:rsidP="0010420B">
      <w:r>
        <w:rPr>
          <w:b/>
          <w:bCs/>
          <w:color w:val="224466"/>
          <w:sz w:val="17"/>
          <w:szCs w:val="17"/>
        </w:rPr>
        <w:t xml:space="preserve">R. 354 </w:t>
      </w:r>
      <w:r>
        <w:t>Décret n°2013-938 du 18 octobre 2013 - art. 70 - NOR: INTA1315613D</w:t>
      </w:r>
    </w:p>
    <w:p w:rsidR="0010420B" w:rsidRDefault="0010420B" w:rsidP="0010420B">
      <w:r>
        <w:t xml:space="preserve">Pour l'application des dispositions de l'article </w:t>
      </w:r>
      <w:r>
        <w:rPr>
          <w:i/>
          <w:iCs/>
          <w:color w:val="224466"/>
        </w:rPr>
        <w:t xml:space="preserve">R. 32 </w:t>
      </w:r>
      <w:r>
        <w:t>:</w:t>
      </w:r>
    </w:p>
    <w:p w:rsidR="0010420B" w:rsidRDefault="0010420B" w:rsidP="0010420B">
      <w:r>
        <w:t>1° Les mots : " un représentant de l'opérateur chargé de l'envoi de la propagande " sont remplacés par les mots : " toute personne qualifiée dans la distribution du courrier que la commission associe à ses travaux avec voix consultative " ;</w:t>
      </w:r>
    </w:p>
    <w:p w:rsidR="0010420B" w:rsidRDefault="0010420B" w:rsidP="0010420B">
      <w:r>
        <w:t>2° Les candidats ne peuvent participer aux travaux de la commission que par l'intermédiaire des mandataires des listes.</w:t>
      </w:r>
    </w:p>
    <w:p w:rsidR="0010420B" w:rsidRPr="003A0249" w:rsidRDefault="0010420B" w:rsidP="0010420B">
      <w:pPr>
        <w:pStyle w:val="NormalWeb"/>
      </w:pPr>
    </w:p>
    <w:p w:rsidR="0010420B" w:rsidRDefault="0010420B">
      <w:pPr>
        <w:rPr>
          <w:rFonts w:asciiTheme="majorHAnsi" w:eastAsiaTheme="majorEastAsia" w:hAnsiTheme="majorHAnsi" w:cstheme="majorBidi"/>
          <w:b/>
          <w:bCs/>
          <w:color w:val="365F91" w:themeColor="accent1" w:themeShade="BF"/>
          <w:sz w:val="28"/>
          <w:szCs w:val="28"/>
        </w:rPr>
      </w:pPr>
      <w:r>
        <w:br w:type="page"/>
      </w:r>
    </w:p>
    <w:p w:rsidR="00396A56" w:rsidRDefault="00396A56" w:rsidP="00396A56">
      <w:pPr>
        <w:pStyle w:val="Titre1"/>
        <w:rPr>
          <w:sz w:val="48"/>
          <w:szCs w:val="48"/>
          <w:lang w:eastAsia="fr-FR"/>
        </w:rPr>
      </w:pPr>
      <w:bookmarkStart w:id="118" w:name="_Toc33528210"/>
      <w:r>
        <w:rPr>
          <w:rStyle w:val="field"/>
        </w:rPr>
        <w:lastRenderedPageBreak/>
        <w:t>Municipales 2020 : quelle communication en période pré-électorale ?</w:t>
      </w:r>
      <w:bookmarkEnd w:id="118"/>
    </w:p>
    <w:p w:rsidR="00396A56" w:rsidRDefault="00396A56" w:rsidP="00396A56">
      <w:pPr>
        <w:rPr>
          <w:rFonts w:eastAsiaTheme="majorEastAsia"/>
        </w:rPr>
      </w:pPr>
      <w:hyperlink r:id="rId27" w:history="1">
        <w:r w:rsidRPr="00096658">
          <w:rPr>
            <w:rStyle w:val="Lienhypertexte"/>
            <w:rFonts w:eastAsiaTheme="majorEastAsia"/>
          </w:rPr>
          <w:t>https://www.vie-publique.fr/eclairage/269985-municipales-2020-quelle-communication-en-periode-pre-electorale</w:t>
        </w:r>
      </w:hyperlink>
    </w:p>
    <w:p w:rsidR="00396A56" w:rsidRDefault="00396A56" w:rsidP="00396A56">
      <w:pPr>
        <w:rPr>
          <w:rFonts w:eastAsiaTheme="majorEastAsia"/>
        </w:rPr>
      </w:pPr>
      <w:r>
        <w:rPr>
          <w:rFonts w:eastAsiaTheme="majorEastAsia"/>
        </w:rPr>
        <w:t>2 septembre 2019</w:t>
      </w:r>
    </w:p>
    <w:p w:rsidR="00396A56" w:rsidRDefault="00396A56" w:rsidP="00396A56">
      <w:pPr>
        <w:rPr>
          <w:rFonts w:eastAsiaTheme="majorEastAsia"/>
        </w:rPr>
      </w:pPr>
    </w:p>
    <w:p w:rsidR="00396A56" w:rsidRDefault="00396A56" w:rsidP="00396A56">
      <w:pPr>
        <w:rPr>
          <w:rStyle w:val="field"/>
        </w:rPr>
      </w:pPr>
      <w:r>
        <w:rPr>
          <w:rStyle w:val="field"/>
        </w:rPr>
        <w:t>Les élections municipales sont organisées les 15 et 22 mars 2020. À compter du 1er septembre 2019, la communication municipale est particulièrement encadrée.</w:t>
      </w:r>
    </w:p>
    <w:p w:rsidR="00396A56" w:rsidRDefault="00396A56" w:rsidP="00396A56">
      <w:pPr>
        <w:pStyle w:val="Titre2"/>
      </w:pPr>
      <w:r>
        <w:t xml:space="preserve">Une communication encadrée par le code électoral </w:t>
      </w:r>
    </w:p>
    <w:p w:rsidR="00396A56" w:rsidRDefault="00396A56" w:rsidP="00396A56">
      <w:pPr>
        <w:pStyle w:val="NormalWeb"/>
      </w:pPr>
      <w:r>
        <w:t>Le code électoral (article L52-1) interdit aux collectivités publiques de mener des actions de propagande pendant les six mois qui précèdent une élection : "</w:t>
      </w:r>
      <w:r>
        <w:rPr>
          <w:i/>
          <w:iCs/>
        </w:rP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À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w:t>
      </w:r>
      <w:r>
        <w:t>".</w:t>
      </w:r>
    </w:p>
    <w:p w:rsidR="00396A56" w:rsidRDefault="00396A56" w:rsidP="00396A56">
      <w:pPr>
        <w:pStyle w:val="NormalWeb"/>
      </w:pPr>
      <w:r>
        <w:t>Pour les élections municipales, cette interdiction s’applique à compter du 1er septembre 2019. Elle concerne la communication des mairies mais aussi celles des ministères et des établissements publics sous leur tutelle ainsi que celle des autorités administratives indépendantes. Elle concerne également la commande d’études ou de sondages sur des thèmes de la campagne électorale.</w:t>
      </w:r>
    </w:p>
    <w:p w:rsidR="00396A56" w:rsidRDefault="00396A56" w:rsidP="00396A56">
      <w:pPr>
        <w:pStyle w:val="NormalWeb"/>
      </w:pPr>
      <w:r>
        <w:t>Aucune disposition ne contraint le maire à cesser ses actions de communication à l’approche des élections. Toutefois, dans les six mois qui précèdent l’élection municipale, les collectivités territoriales doivent respecter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w:t>
      </w:r>
    </w:p>
    <w:p w:rsidR="00396A56" w:rsidRDefault="00396A56" w:rsidP="00396A56">
      <w:pPr>
        <w:pStyle w:val="Titre2"/>
      </w:pPr>
      <w:r>
        <w:t xml:space="preserve">Bulletin municipal, promotion, événements : qu’est-ce qui est interdit ? </w:t>
      </w:r>
    </w:p>
    <w:p w:rsidR="00396A56" w:rsidRDefault="00396A56" w:rsidP="00396A56">
      <w:pPr>
        <w:numPr>
          <w:ilvl w:val="0"/>
          <w:numId w:val="20"/>
        </w:numPr>
        <w:spacing w:before="100" w:beforeAutospacing="1" w:after="100" w:afterAutospacing="1"/>
      </w:pPr>
      <w:r>
        <w:rPr>
          <w:rStyle w:val="lev"/>
        </w:rPr>
        <w:t>Le bulletin municipal.</w:t>
      </w:r>
      <w:r>
        <w:t xml:space="preserve"> Les bulletins municipaux peuvent poursuivre leur parution et avoir un caractère neutre et informatif. Le document doit présenter un contenu habituel et revêtir une présentation semblable aux précédentes éditions. Il est interdit à un candidat sortant de signer une tribune politique dans le bulletin municipal. Il revient au juge de vérifier si la périodicité et le format habituel du bulletin ont été conservés.</w:t>
      </w:r>
    </w:p>
    <w:p w:rsidR="00396A56" w:rsidRDefault="00396A56" w:rsidP="00396A56">
      <w:pPr>
        <w:numPr>
          <w:ilvl w:val="0"/>
          <w:numId w:val="20"/>
        </w:numPr>
        <w:spacing w:before="100" w:beforeAutospacing="1" w:after="100" w:afterAutospacing="1"/>
      </w:pPr>
      <w:r>
        <w:t xml:space="preserve">La </w:t>
      </w:r>
      <w:r>
        <w:rPr>
          <w:rStyle w:val="lev"/>
        </w:rPr>
        <w:t>promotion publicitaire du bilan de l’équipe municipale</w:t>
      </w:r>
      <w:r>
        <w:t xml:space="preserve"> est interdite à compter du premier jour du sixième mois précédant les élections, soit à partir du 1er septembre 2019. Les communes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396A56" w:rsidRDefault="00396A56" w:rsidP="00396A56">
      <w:pPr>
        <w:numPr>
          <w:ilvl w:val="0"/>
          <w:numId w:val="20"/>
        </w:numPr>
        <w:spacing w:before="100" w:beforeAutospacing="1" w:after="100" w:afterAutospacing="1"/>
      </w:pPr>
      <w:r>
        <w:rPr>
          <w:rStyle w:val="lev"/>
        </w:rPr>
        <w:t>L’organisation d’événements</w:t>
      </w:r>
      <w:r>
        <w:t xml:space="preserve"> Les cérémonies diverses (vœux, inaugurations, fêtes locales, etc.) peuvent toujours être organisées à la condition d’avoir lieu conformément à leur périodicité habituelle et dans les conditions habituelles (ni avancé, ni retardé, ni particulièrement amplifié).</w:t>
      </w:r>
    </w:p>
    <w:p w:rsidR="00396A56" w:rsidRDefault="00396A56" w:rsidP="00396A56">
      <w:pPr>
        <w:numPr>
          <w:ilvl w:val="0"/>
          <w:numId w:val="20"/>
        </w:numPr>
        <w:spacing w:before="100" w:beforeAutospacing="1" w:after="100" w:afterAutospacing="1"/>
      </w:pPr>
      <w:r>
        <w:rPr>
          <w:rStyle w:val="lev"/>
        </w:rPr>
        <w:lastRenderedPageBreak/>
        <w:t>L’utilisation, pour mener campagne, des moyens matériels de la commune</w:t>
      </w:r>
      <w:r>
        <w:t xml:space="preserve"> (voiture de fonction, téléphone, etc.) ainsi que le recours au personnel municipal sont interdits. En cas d’utilisation des moyens de la commune par le maire sortant, celle-ci doit lui être facturée au prix du marché pour respecter l’égalité entre les candidats.</w:t>
      </w:r>
    </w:p>
    <w:p w:rsidR="00396A56" w:rsidRDefault="00396A56" w:rsidP="00396A56">
      <w:pPr>
        <w:numPr>
          <w:ilvl w:val="0"/>
          <w:numId w:val="20"/>
        </w:numPr>
        <w:spacing w:before="100" w:beforeAutospacing="1" w:after="100" w:afterAutospacing="1"/>
      </w:pPr>
      <w:r>
        <w:rPr>
          <w:rStyle w:val="lev"/>
        </w:rPr>
        <w:t>L’utilisation des sites internet des collectivités</w:t>
      </w:r>
      <w:r>
        <w:t>. Tenus à la neutralité dans les 6 mois précédant l’élection, ils ne peuvent ni servir explicitement la propagande d’une liste ni établir de lien vers le site d’une liste.</w:t>
      </w:r>
    </w:p>
    <w:p w:rsidR="00396A56" w:rsidRDefault="00396A56" w:rsidP="00396A56">
      <w:pPr>
        <w:rPr>
          <w:rFonts w:eastAsiaTheme="majorEastAsia"/>
        </w:rPr>
      </w:pPr>
    </w:p>
    <w:p w:rsidR="00396A56" w:rsidRDefault="00396A56" w:rsidP="0053282D">
      <w:pPr>
        <w:pStyle w:val="chapo"/>
        <w:spacing w:before="0" w:beforeAutospacing="0" w:after="45" w:afterAutospacing="0"/>
        <w:jc w:val="both"/>
        <w:rPr>
          <w:rFonts w:asciiTheme="majorHAnsi" w:eastAsiaTheme="majorEastAsia" w:hAnsiTheme="majorHAnsi" w:cstheme="majorBidi"/>
          <w:b/>
          <w:bCs/>
          <w:color w:val="365F91" w:themeColor="accent1" w:themeShade="BF"/>
          <w:sz w:val="28"/>
          <w:szCs w:val="28"/>
          <w:lang w:eastAsia="en-US"/>
        </w:rPr>
      </w:pPr>
      <w:r w:rsidRPr="00396A56">
        <w:rPr>
          <w:rFonts w:asciiTheme="majorHAnsi" w:eastAsiaTheme="majorEastAsia" w:hAnsiTheme="majorHAnsi" w:cstheme="majorBidi"/>
          <w:b/>
          <w:bCs/>
          <w:color w:val="365F91" w:themeColor="accent1" w:themeShade="BF"/>
          <w:sz w:val="28"/>
          <w:szCs w:val="28"/>
          <w:lang w:eastAsia="en-US"/>
        </w:rPr>
        <w:t>Municipales 2020 : les règles de la campagne électorale</w:t>
      </w:r>
      <w:r>
        <w:rPr>
          <w:rFonts w:asciiTheme="majorHAnsi" w:eastAsiaTheme="majorEastAsia" w:hAnsiTheme="majorHAnsi" w:cstheme="majorBidi"/>
          <w:b/>
          <w:bCs/>
          <w:color w:val="365F91" w:themeColor="accent1" w:themeShade="BF"/>
          <w:sz w:val="28"/>
          <w:szCs w:val="28"/>
          <w:lang w:eastAsia="en-US"/>
        </w:rPr>
        <w:t xml:space="preserve"> (Vie-Publique.fr)</w:t>
      </w:r>
    </w:p>
    <w:p w:rsidR="00396A56" w:rsidRDefault="00396A56" w:rsidP="0053282D">
      <w:pPr>
        <w:pStyle w:val="chapo"/>
        <w:spacing w:before="0" w:beforeAutospacing="0" w:after="45" w:afterAutospacing="0"/>
        <w:jc w:val="both"/>
        <w:rPr>
          <w:rStyle w:val="Date1"/>
        </w:rPr>
      </w:pPr>
      <w:hyperlink r:id="rId28" w:history="1">
        <w:r w:rsidRPr="00096658">
          <w:rPr>
            <w:rStyle w:val="Lienhypertexte"/>
          </w:rPr>
          <w:t>https://www.vie-publique.fr/eclairage/24056-municipales-2020-les-regles-de-la-campagne-electorale</w:t>
        </w:r>
      </w:hyperlink>
    </w:p>
    <w:p w:rsidR="00396A56" w:rsidRDefault="00396A56" w:rsidP="0053282D">
      <w:pPr>
        <w:pStyle w:val="chapo"/>
        <w:spacing w:before="0" w:beforeAutospacing="0" w:after="45" w:afterAutospacing="0"/>
        <w:jc w:val="both"/>
        <w:rPr>
          <w:rStyle w:val="Date1"/>
        </w:rPr>
      </w:pPr>
      <w:r>
        <w:rPr>
          <w:rStyle w:val="Date1"/>
        </w:rPr>
        <w:t>3 février 2020</w:t>
      </w:r>
    </w:p>
    <w:p w:rsidR="00396A56" w:rsidRDefault="00396A56" w:rsidP="0053282D">
      <w:pPr>
        <w:pStyle w:val="chapo"/>
        <w:spacing w:before="0" w:beforeAutospacing="0" w:after="45" w:afterAutospacing="0"/>
        <w:jc w:val="both"/>
        <w:rPr>
          <w:rStyle w:val="field"/>
        </w:rPr>
      </w:pPr>
      <w:r>
        <w:rPr>
          <w:rStyle w:val="field"/>
        </w:rPr>
        <w:t>Les règles progressivement mises en place par le législateur définissent des obligations et des interdits pour l’utilisation des moyens de communication et de propagande électorale.</w:t>
      </w:r>
    </w:p>
    <w:p w:rsidR="00396A56" w:rsidRDefault="00396A56" w:rsidP="00396A56">
      <w:pPr>
        <w:pStyle w:val="NormalWeb"/>
      </w:pPr>
      <w:r>
        <w:t xml:space="preserve">Pour leur campagne électorale, les candidats ont accès à des moyens de propagande dont l'usage est réglementé. Pour ne pas mêler campagne et communication, </w:t>
      </w:r>
      <w:hyperlink r:id="rId29" w:history="1">
        <w:r>
          <w:rPr>
            <w:rStyle w:val="Lienhypertexte"/>
          </w:rPr>
          <w:t>la communication des collectivités en période pré-électorale</w:t>
        </w:r>
      </w:hyperlink>
      <w:r>
        <w:t xml:space="preserve"> est, elle, particulièrement encadrée.</w:t>
      </w:r>
    </w:p>
    <w:p w:rsidR="00396A56" w:rsidRDefault="00396A56" w:rsidP="00396A56">
      <w:pPr>
        <w:pStyle w:val="Titre2"/>
      </w:pPr>
      <w:r>
        <w:t xml:space="preserve">Les moyens traditionnels de propagande lors de la campagne municipale </w:t>
      </w:r>
    </w:p>
    <w:p w:rsidR="00396A56" w:rsidRDefault="00396A56" w:rsidP="00396A56">
      <w:pPr>
        <w:pStyle w:val="NormalWeb"/>
      </w:pPr>
      <w:r>
        <w:t>Les candidats peuvent utiliser des moyens classiques de propagande :</w:t>
      </w:r>
    </w:p>
    <w:p w:rsidR="00396A56" w:rsidRDefault="00396A56" w:rsidP="00396A56">
      <w:pPr>
        <w:numPr>
          <w:ilvl w:val="0"/>
          <w:numId w:val="19"/>
        </w:numPr>
        <w:spacing w:before="100" w:beforeAutospacing="1" w:after="100" w:afterAutospacing="1"/>
      </w:pPr>
      <w:proofErr w:type="gramStart"/>
      <w:r>
        <w:t>les</w:t>
      </w:r>
      <w:proofErr w:type="gramEnd"/>
      <w:r>
        <w:t xml:space="preserve"> réunions : toutes les réunions publiques sont autorisées et peuvent se tenir sans demandes d’autorisation préalable jusqu'à la veille du scrutin ;</w:t>
      </w:r>
    </w:p>
    <w:p w:rsidR="00396A56" w:rsidRDefault="00396A56" w:rsidP="00396A56">
      <w:pPr>
        <w:numPr>
          <w:ilvl w:val="0"/>
          <w:numId w:val="19"/>
        </w:numPr>
        <w:spacing w:before="100" w:beforeAutospacing="1" w:after="100" w:afterAutospacing="1"/>
      </w:pPr>
      <w:proofErr w:type="gramStart"/>
      <w:r>
        <w:t>l’affichage</w:t>
      </w:r>
      <w:proofErr w:type="gramEnd"/>
      <w:r>
        <w:t>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w:t>
      </w:r>
    </w:p>
    <w:p w:rsidR="00396A56" w:rsidRDefault="00396A56" w:rsidP="00396A56">
      <w:pPr>
        <w:numPr>
          <w:ilvl w:val="0"/>
          <w:numId w:val="19"/>
        </w:numPr>
        <w:spacing w:before="100" w:beforeAutospacing="1" w:after="100" w:afterAutospacing="1"/>
      </w:pPr>
      <w:proofErr w:type="gramStart"/>
      <w:r>
        <w:t>les</w:t>
      </w:r>
      <w:proofErr w:type="gramEnd"/>
      <w:r>
        <w:t xml:space="preserve"> tracts : leur distribution n’est plus interdite pendant la période électorale depuis la loi du 14 avril 2011 ;</w:t>
      </w:r>
    </w:p>
    <w:p w:rsidR="00396A56" w:rsidRDefault="00396A56" w:rsidP="00396A56">
      <w:pPr>
        <w:numPr>
          <w:ilvl w:val="0"/>
          <w:numId w:val="19"/>
        </w:numPr>
        <w:spacing w:before="100" w:beforeAutospacing="1" w:after="100" w:afterAutospacing="1"/>
      </w:pPr>
      <w:proofErr w:type="gramStart"/>
      <w:r>
        <w:t>les</w:t>
      </w:r>
      <w:proofErr w:type="gramEnd"/>
      <w:r>
        <w:t xml:space="preserve"> "circulaires" adressées aux électeurs : une seule circulaire pour l’ensemble de la circonscription électorale, le même format de papier pour toutes les listes, une feuille recto-verso au maximum. </w:t>
      </w:r>
    </w:p>
    <w:p w:rsidR="00396A56" w:rsidRDefault="00396A56" w:rsidP="00396A56">
      <w:pPr>
        <w:pStyle w:val="NormalWeb"/>
      </w:pPr>
      <w:r>
        <w:t>Quelles sont les couleurs autorisées sur les affiches et circulaires ?</w:t>
      </w:r>
    </w:p>
    <w:p w:rsidR="00396A56" w:rsidRDefault="00396A56" w:rsidP="00396A56">
      <w:pPr>
        <w:pStyle w:val="NormalWeb"/>
      </w:pPr>
      <w:r>
        <w:t xml:space="preserve">Jusqu'au 31 décembre 2019, l'utilisation d'une combinaison des trois couleurs bleu, blanc, rouge était interdite sur les affiches et circulaires. Le </w:t>
      </w:r>
      <w:hyperlink r:id="rId30" w:tgtFrame="_blank" w:tooltip="Décret n° 2019-1494 du 27 décembre 2019 portant diverses modifications du code électoral. Légifrance. Nouvelle fenêtre" w:history="1">
        <w:r>
          <w:rPr>
            <w:rStyle w:val="Lienhypertexte"/>
          </w:rPr>
          <w:t>décret du 27 décembre 2019 portant diverses modifications du code électoral</w:t>
        </w:r>
        <w:r>
          <w:rPr>
            <w:rStyle w:val="sr-only"/>
            <w:color w:val="0000FF"/>
            <w:u w:val="single"/>
          </w:rPr>
          <w:t>(nouvelle fenêtre)</w:t>
        </w:r>
      </w:hyperlink>
      <w:r>
        <w:t>, entré en vigueur le 1er janvier 2020, limite l'interdiction à "la juxtaposition des trois couleurs dès lors qu'elle est de nature à entretenir la confusion avec l'emblème national, à l'exception de la reproduction de l'emblème d'un parti ou d'un groupement politique".</w:t>
      </w:r>
    </w:p>
    <w:p w:rsidR="00396A56" w:rsidRDefault="00396A56" w:rsidP="00396A56">
      <w:pPr>
        <w:pStyle w:val="NormalWeb"/>
      </w:pPr>
      <w:r>
        <w:t xml:space="preserve">À partir de la </w:t>
      </w:r>
      <w:r>
        <w:rPr>
          <w:rStyle w:val="lev"/>
        </w:rPr>
        <w:t>veille du scrutin à zéro heure</w:t>
      </w:r>
      <w:r>
        <w:t>, il est interdit :</w:t>
      </w:r>
    </w:p>
    <w:p w:rsidR="00396A56" w:rsidRDefault="00396A56" w:rsidP="00396A56">
      <w:pPr>
        <w:numPr>
          <w:ilvl w:val="0"/>
          <w:numId w:val="21"/>
        </w:numPr>
        <w:spacing w:before="100" w:beforeAutospacing="1" w:after="100" w:afterAutospacing="1"/>
      </w:pPr>
      <w:proofErr w:type="gramStart"/>
      <w:r>
        <w:t>de</w:t>
      </w:r>
      <w:proofErr w:type="gramEnd"/>
      <w:r>
        <w:t xml:space="preserve"> distribuer ou faire distribuer des bulletins, circulaires et autres documents, notamment des tracts ;</w:t>
      </w:r>
    </w:p>
    <w:p w:rsidR="00396A56" w:rsidRDefault="00396A56" w:rsidP="00396A56">
      <w:pPr>
        <w:numPr>
          <w:ilvl w:val="0"/>
          <w:numId w:val="21"/>
        </w:numPr>
        <w:spacing w:before="100" w:beforeAutospacing="1" w:after="100" w:afterAutospacing="1"/>
      </w:pPr>
      <w:proofErr w:type="gramStart"/>
      <w:r>
        <w:t>de</w:t>
      </w:r>
      <w:proofErr w:type="gramEnd"/>
      <w:r>
        <w:t xml:space="preserve"> diffuser ou de faire diffuser par tout moyen de communication au public par voie électronique tout message ayant le caractère de propagande électorale ;</w:t>
      </w:r>
    </w:p>
    <w:p w:rsidR="00396A56" w:rsidRDefault="00396A56" w:rsidP="00396A56">
      <w:pPr>
        <w:numPr>
          <w:ilvl w:val="0"/>
          <w:numId w:val="21"/>
        </w:numPr>
        <w:spacing w:before="100" w:beforeAutospacing="1" w:after="100" w:afterAutospacing="1"/>
      </w:pPr>
      <w:proofErr w:type="gramStart"/>
      <w:r>
        <w:t>de</w:t>
      </w:r>
      <w:proofErr w:type="gramEnd"/>
      <w:r>
        <w:t xml:space="preserve"> procéder, par un système automatisé ou non, à l’appel téléphonique en série des électeurs afin de les inciter à voter pour un candidat.</w:t>
      </w:r>
    </w:p>
    <w:p w:rsidR="00396A56" w:rsidRDefault="00396A56" w:rsidP="00396A56">
      <w:pPr>
        <w:pStyle w:val="NormalWeb"/>
      </w:pPr>
      <w:r>
        <w:lastRenderedPageBreak/>
        <w:t>La loi du 14 avril 2011 interdit, en outre, de porter à la connaissance du public un élément nouveau de polémique électorale juste avant l’organisation du scrutin sans donner la possibilité aux adversaires électoraux d’y répondre avant la fin de la campagne.</w:t>
      </w:r>
    </w:p>
    <w:p w:rsidR="00396A56" w:rsidRDefault="00396A56" w:rsidP="00396A56">
      <w:pPr>
        <w:pStyle w:val="NormalWeb"/>
      </w:pPr>
      <w:proofErr w:type="spellStart"/>
      <w:r>
        <w:rPr>
          <w:rStyle w:val="lev"/>
        </w:rPr>
        <w:t>Infox</w:t>
      </w:r>
      <w:proofErr w:type="spellEnd"/>
      <w:r>
        <w:rPr>
          <w:rStyle w:val="lev"/>
        </w:rPr>
        <w:t xml:space="preserve"> et </w:t>
      </w:r>
      <w:proofErr w:type="spellStart"/>
      <w:r>
        <w:rPr>
          <w:rStyle w:val="lev"/>
        </w:rPr>
        <w:t>fake</w:t>
      </w:r>
      <w:proofErr w:type="spellEnd"/>
      <w:r>
        <w:rPr>
          <w:rStyle w:val="lev"/>
        </w:rPr>
        <w:t xml:space="preserve"> news</w:t>
      </w:r>
    </w:p>
    <w:p w:rsidR="00396A56" w:rsidRDefault="00396A56" w:rsidP="00396A56">
      <w:pPr>
        <w:pStyle w:val="NormalWeb"/>
      </w:pPr>
      <w:r>
        <w:t>Comme dans toute communication, les propos injurieux ou diffamatoires sont répréhensibles pénalement. Le code électoral prévoit une infraction spécifique lorsque des suffrages ont pu être détournés par des fausses nouvelles ou des calomnies. Le candidat victime de ces propos peut former un recours en annulation de l’élection.</w:t>
      </w:r>
    </w:p>
    <w:p w:rsidR="00396A56" w:rsidRDefault="00396A56" w:rsidP="00396A56">
      <w:pPr>
        <w:pStyle w:val="NormalWeb"/>
      </w:pPr>
      <w:r>
        <w:t xml:space="preserve">La </w:t>
      </w:r>
      <w:hyperlink r:id="rId31" w:history="1">
        <w:r>
          <w:rPr>
            <w:rStyle w:val="Lienhypertexte"/>
          </w:rPr>
          <w:t>loi du 22 décembre 2018 relative à la lutte contre la manipulation de l’information</w:t>
        </w:r>
      </w:hyperlink>
      <w:r>
        <w:t xml:space="preserve"> prévoit dans son titre III article 11 un devoir de coopération en matière de lutte contre la diffusion de fausses informations à la charge des principaux opérateurs de plateforme en ligne.</w:t>
      </w:r>
    </w:p>
    <w:p w:rsidR="00396A56" w:rsidRDefault="00396A56" w:rsidP="00396A56">
      <w:pPr>
        <w:pStyle w:val="Titre2"/>
      </w:pPr>
      <w:r>
        <w:t xml:space="preserve">L'utilisation des médias, radio, télévision, internet </w:t>
      </w:r>
    </w:p>
    <w:p w:rsidR="00396A56" w:rsidRDefault="00396A56" w:rsidP="00396A56">
      <w:pPr>
        <w:pStyle w:val="NormalWeb"/>
      </w:pPr>
      <w:r>
        <w:t>Les moyens audiovisuels, notamment la télévision, ont aujourd’hui acquis une place considérée comme prééminente dans la communication politique.</w:t>
      </w:r>
    </w:p>
    <w:p w:rsidR="00396A56" w:rsidRDefault="00396A56" w:rsidP="00396A56">
      <w:pPr>
        <w:pStyle w:val="NormalWeb"/>
      </w:pPr>
      <w:r>
        <w:rPr>
          <w:rStyle w:val="lev"/>
        </w:rPr>
        <w:t>Le rôle du Conseil supérieur de l'audiovisuel lors de la campagne électorale des municipales</w:t>
      </w:r>
    </w:p>
    <w:p w:rsidR="00396A56" w:rsidRDefault="00396A56" w:rsidP="00396A56">
      <w:pPr>
        <w:pStyle w:val="NormalWeb"/>
      </w:pPr>
      <w:r>
        <w:t xml:space="preserve">Le </w:t>
      </w:r>
      <w:hyperlink r:id="rId32" w:tgtFrame="_blank" w:tooltip="Élections municipales 2020 : le rôle du CSA. Conseil supérieur de l'audiovisuel. Nouvelle fenêtre" w:history="1">
        <w:r>
          <w:rPr>
            <w:rStyle w:val="Lienhypertexte"/>
          </w:rPr>
          <w:t>Conseil supérieur de l’audiovisuel (CSA) est chargé de veiller à la régulation</w:t>
        </w:r>
        <w:r>
          <w:rPr>
            <w:rStyle w:val="sr-only"/>
            <w:color w:val="0000FF"/>
            <w:u w:val="single"/>
          </w:rPr>
          <w:t>(nouvelle fenêtre)</w:t>
        </w:r>
      </w:hyperlink>
      <w:r>
        <w:t xml:space="preserve"> de la communication et de la propagande à des fins électorales sur les chaînes de télévisions et les radios.</w:t>
      </w:r>
    </w:p>
    <w:p w:rsidR="00396A56" w:rsidRDefault="00396A56" w:rsidP="00396A56">
      <w:pPr>
        <w:pStyle w:val="NormalWeb"/>
      </w:pPr>
      <w:r>
        <w:t xml:space="preserve">L’accès à l’antenne des médias audiovisuels des candidats aux élections municipales relève des règles particulières fixées par le CSA dans sa </w:t>
      </w:r>
      <w:hyperlink r:id="rId33" w:tgtFrame="_blank" w:tooltip="Délibération du 4 janvier 2011 relative au principe de pluralisme politique dans les services de radio et de télévision en période électorale  | Nouvelle fenêtre. Lien vers le site du Conseil supérieur de l'audiovisuel (CSA)" w:history="1">
        <w:r>
          <w:rPr>
            <w:rStyle w:val="Lienhypertexte"/>
          </w:rPr>
          <w:t>délibération du 4 janvier 2011 relative au principe de pluralisme politique en période électorale</w:t>
        </w:r>
        <w:r>
          <w:rPr>
            <w:rStyle w:val="sr-only"/>
            <w:color w:val="0000FF"/>
            <w:u w:val="single"/>
          </w:rPr>
          <w:t>(nouvelle fenêtre)</w:t>
        </w:r>
      </w:hyperlink>
      <w:r>
        <w:t>.</w:t>
      </w:r>
    </w:p>
    <w:p w:rsidR="00396A56" w:rsidRDefault="00396A56" w:rsidP="00396A56">
      <w:pPr>
        <w:pStyle w:val="NormalWeb"/>
      </w:pPr>
      <w:r>
        <w:rPr>
          <w:rStyle w:val="lev"/>
        </w:rPr>
        <w:t xml:space="preserve">La présentation et l'accès équitable à l'antenne des candidats </w:t>
      </w:r>
    </w:p>
    <w:p w:rsidR="00396A56" w:rsidRDefault="00396A56" w:rsidP="00396A56">
      <w:pPr>
        <w:pStyle w:val="NormalWeb"/>
      </w:pPr>
      <w:r>
        <w:t xml:space="preserve">Le </w:t>
      </w:r>
      <w:hyperlink r:id="rId34" w:tgtFrame="_blank" w:tooltip="Recommandation n° 2019-04 du 20 novembre 2019 du Conseil supérieur de l'audiovisuel aux services de radio et de télévision en vue du renouvellement des conseillers municipaux et communautaires. Légifrance. Nouvelle fenêtre" w:history="1">
        <w:r>
          <w:rPr>
            <w:rStyle w:val="Lienhypertexte"/>
          </w:rPr>
          <w:t>CSA a publié une recommandation pour les élections municipales</w:t>
        </w:r>
        <w:r>
          <w:rPr>
            <w:rStyle w:val="sr-only"/>
            <w:color w:val="0000FF"/>
            <w:u w:val="single"/>
          </w:rPr>
          <w:t>(nouvelle fenêtre)</w:t>
        </w:r>
      </w:hyperlink>
      <w:r>
        <w:t>. Au cours des six semaines précédant le scrutin, les services de radio et de télévision veillent à ce que les candidats et leurs soutiens bénéficient d’une présentation et d’un accès équitables à l’antenne. Pour les élections municipales 2020, ces règles s’appliquent à compter du 3 février 2020.</w:t>
      </w:r>
    </w:p>
    <w:p w:rsidR="00396A56" w:rsidRDefault="00396A56" w:rsidP="00396A56">
      <w:pPr>
        <w:pStyle w:val="NormalWeb"/>
      </w:pPr>
      <w:r>
        <w:t>Les chaînes de télévision et les radios doivent veiller, lorsqu’il est question d’une circonscription électorale déterminée, à ce que les listes de candidats et leurs soutiens bénéficient d’une "présentation et d’un accès équitables à l’antenne".</w:t>
      </w:r>
    </w:p>
    <w:p w:rsidR="00396A56" w:rsidRDefault="00396A56" w:rsidP="00396A56">
      <w:pPr>
        <w:pStyle w:val="NormalWeb"/>
      </w:pPr>
      <w:r>
        <w:t>Pour les programmes locaux, la couverture de l’actualité locale doit prendre en compte les équilibres politiques locaux.</w:t>
      </w:r>
    </w:p>
    <w:p w:rsidR="00396A56" w:rsidRDefault="00396A56" w:rsidP="00396A56">
      <w:pPr>
        <w:pStyle w:val="NormalWeb"/>
      </w:pPr>
      <w:r>
        <w:t xml:space="preserve">Jusqu'au 2 février 2020, les interventions des candidats aux municipales sont prises en compte au regard des règles fixées par la </w:t>
      </w:r>
      <w:hyperlink r:id="rId35" w:tgtFrame="_blank" w:tooltip="Délibération du 22 novembre 2017 relative au principe de pluralisme politique dans les services de radio et de télévision Nouvelle fenêtre. Lien vers le Site du Conseil supérieur de l'audiovisuel (CSA)" w:history="1">
        <w:r>
          <w:rPr>
            <w:rStyle w:val="Lienhypertexte"/>
          </w:rPr>
          <w:t>délibération du CSA du 22 novembre 2017 relative au principe de pluralisme politique à la radio et à la télévision</w:t>
        </w:r>
        <w:r>
          <w:rPr>
            <w:rStyle w:val="sr-only"/>
            <w:color w:val="0000FF"/>
            <w:u w:val="single"/>
          </w:rPr>
          <w:t>(nouvelle fenêtre)</w:t>
        </w:r>
      </w:hyperlink>
      <w:r>
        <w:t>.</w:t>
      </w:r>
    </w:p>
    <w:p w:rsidR="00396A56" w:rsidRDefault="00396A56" w:rsidP="00396A56">
      <w:pPr>
        <w:pStyle w:val="NormalWeb"/>
      </w:pPr>
      <w:r>
        <w:t>Les éditeurs de services de radio et de télévision doivent veiller à assurer aux partis et groupements politiques qui expriment les grandes orientations de la vie politique nationale un temps d’intervention équitable au regard des éléments de leur représentativité. Cette représentativité est définie en fonction des résultats des consultations électorales, du nombre et des catégories d’élus qui s’y rattachent, de l’importance des groupes au Parlement, des indications de sondages d’opinion et de la contribution des partis à l’animation du débat politique national.</w:t>
      </w:r>
    </w:p>
    <w:p w:rsidR="00396A56" w:rsidRDefault="00396A56" w:rsidP="00396A56">
      <w:pPr>
        <w:pStyle w:val="NormalWeb"/>
      </w:pPr>
      <w:r>
        <w:lastRenderedPageBreak/>
        <w:t>Le principe de pluralisme politique ne s'applique pas aux services de radio d'opinion.</w:t>
      </w:r>
    </w:p>
    <w:p w:rsidR="00396A56" w:rsidRDefault="00396A56" w:rsidP="00396A56">
      <w:pPr>
        <w:pStyle w:val="NormalWeb"/>
      </w:pPr>
      <w:r>
        <w:rPr>
          <w:rStyle w:val="lev"/>
        </w:rPr>
        <w:t>L'utilisation d'internet et des réseaux sociaux</w:t>
      </w:r>
    </w:p>
    <w:p w:rsidR="00396A56" w:rsidRDefault="00396A56" w:rsidP="00396A56">
      <w:pPr>
        <w:pStyle w:val="NormalWeb"/>
      </w:pPr>
      <w:r>
        <w:t xml:space="preserve">Les candidats ont la possibilité d’ouvrir des </w:t>
      </w:r>
      <w:r>
        <w:rPr>
          <w:rStyle w:val="lev"/>
        </w:rPr>
        <w:t>sites internet spécifiques pour la campagne électorale</w:t>
      </w:r>
      <w:r>
        <w:t>, ils peuvent également utiliser leurs sites personnels dans un but de propagande électorale.</w:t>
      </w:r>
    </w:p>
    <w:p w:rsidR="00396A56" w:rsidRDefault="00396A56" w:rsidP="00396A56">
      <w:pPr>
        <w:pStyle w:val="NormalWeb"/>
      </w:pPr>
      <w:r>
        <w:t>À ce titre, l'</w:t>
      </w:r>
      <w:hyperlink r:id="rId36" w:tgtFrame="_blank" w:tooltip="Vie politique et citoyenne - OPour des élections respectueuses des données personnelles | Nouvelle fenêtre. Lien vers la Commission nationale de l'informatique et des libertés (Cnil)" w:history="1">
        <w:r>
          <w:rPr>
            <w:rStyle w:val="Lienhypertexte"/>
          </w:rPr>
          <w:t>Observatoire des élections de la Commission nationale de l'informatique et des libertés (Cnil)</w:t>
        </w:r>
        <w:r>
          <w:rPr>
            <w:rStyle w:val="sr-only"/>
            <w:color w:val="0000FF"/>
            <w:u w:val="single"/>
          </w:rPr>
          <w:t>(nouvelle fenêtre)</w:t>
        </w:r>
      </w:hyperlink>
      <w:r>
        <w:t xml:space="preserve"> a émis des recommandations "pour des élections respectueuses des données personnelles, notamment en matière de communication politique par courrier électronique.</w:t>
      </w:r>
    </w:p>
    <w:p w:rsidR="00396A56" w:rsidRDefault="00396A56" w:rsidP="00396A56">
      <w:pPr>
        <w:pStyle w:val="NormalWeb"/>
      </w:pPr>
      <w:r>
        <w:t xml:space="preserve">Si </w:t>
      </w:r>
      <w:r>
        <w:rPr>
          <w:rStyle w:val="lev"/>
        </w:rPr>
        <w:t xml:space="preserve">la publicité commerciale </w:t>
      </w:r>
      <w:r>
        <w:t>est interdite à des fins de propagande, l’utilisation d’un site internet n’est pas en elle-même considérée comme une publicité commerciale.</w:t>
      </w:r>
    </w:p>
    <w:p w:rsidR="00396A56" w:rsidRDefault="00396A56" w:rsidP="00396A56">
      <w:pPr>
        <w:pStyle w:val="NormalWeb"/>
      </w:pPr>
      <w:r>
        <w:t xml:space="preserve">En revanche, certains procédés couramment utilisés sur Internet sont </w:t>
      </w:r>
      <w:r>
        <w:rPr>
          <w:rStyle w:val="lev"/>
        </w:rPr>
        <w:t xml:space="preserve">interdits </w:t>
      </w:r>
      <w:r>
        <w:t>à ces sites pendant la campagne électorale (</w:t>
      </w:r>
      <w:r>
        <w:rPr>
          <w:rStyle w:val="lev"/>
        </w:rPr>
        <w:t>référencement payant, achat de liens sponsorisés ou de mots clés</w:t>
      </w:r>
      <w:r>
        <w:t>).</w:t>
      </w:r>
    </w:p>
    <w:p w:rsidR="00396A56" w:rsidRDefault="00396A56" w:rsidP="00396A56">
      <w:pPr>
        <w:pStyle w:val="NormalWeb"/>
      </w:pPr>
      <w:r>
        <w:t>L’affichage de publicités sur des sites de propagande électorale peut contrevenir à la législation sur le financement des campagnes électorales car il peut être assimilé au financement de la campagne par une personne morale (ce financement est interdit).</w:t>
      </w:r>
    </w:p>
    <w:p w:rsidR="00396A56" w:rsidRDefault="00396A56" w:rsidP="00396A56">
      <w:pPr>
        <w:pStyle w:val="NormalWeb"/>
      </w:pPr>
      <w:r>
        <w:t>Sous réserve de ne pas diffuser de nouveaux messages à caractère de propagande électorale sur ces sites la veille et le jour du scrutin, un site non modifié peut rester en ligne.</w:t>
      </w:r>
    </w:p>
    <w:p w:rsidR="00396A56" w:rsidRDefault="00396A56" w:rsidP="00396A56">
      <w:pPr>
        <w:pStyle w:val="NormalWeb"/>
      </w:pPr>
      <w:r>
        <w:rPr>
          <w:rStyle w:val="lev"/>
        </w:rPr>
        <w:t>La publication et la diffusion de sondages d'opinion</w:t>
      </w:r>
    </w:p>
    <w:p w:rsidR="00396A56" w:rsidRDefault="00396A56" w:rsidP="00396A56">
      <w:pPr>
        <w:pStyle w:val="NormalWeb"/>
      </w:pPr>
      <w:r>
        <w:t xml:space="preserve">Enfin, l'article 11 de la </w:t>
      </w:r>
      <w:hyperlink r:id="rId37" w:tgtFrame="_blank" w:tooltip="Loi n° 77-808 du 19 juillet 1977 relative à la publication et à la diffusion de certains sondages d’opinion | Nouvelle fenêtre. Lien vers Légifrance" w:history="1">
        <w:r>
          <w:rPr>
            <w:rStyle w:val="Lienhypertexte"/>
          </w:rPr>
          <w:t>loi n° 77-808 du 19 juillet 1977 relative à la publication et à la diffusion de certains sondages d’opinion</w:t>
        </w:r>
        <w:r>
          <w:rPr>
            <w:rStyle w:val="sr-only"/>
            <w:color w:val="0000FF"/>
            <w:u w:val="single"/>
          </w:rPr>
          <w:t>(nouvelle fenêtre)</w:t>
        </w:r>
      </w:hyperlink>
      <w:r>
        <w:t xml:space="preserve"> prévoit que la veille de chaque tour de scrutin ainsi que le jour de celui-ci, sont interdits, par quelque moyen que ce soit, la publication, la diffusion et le commentaire de tout sondage ayant un rapport avec l’élection.</w:t>
      </w:r>
    </w:p>
    <w:p w:rsidR="00396A56" w:rsidRDefault="00396A56" w:rsidP="00396A56">
      <w:pPr>
        <w:pStyle w:val="NormalWeb"/>
      </w:pPr>
      <w:r>
        <w:t>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rPr>
          <w:sz w:val="48"/>
          <w:szCs w:val="48"/>
          <w:lang w:eastAsia="fr-FR"/>
        </w:rPr>
      </w:pPr>
      <w:bookmarkStart w:id="119" w:name="_Toc33528211"/>
      <w:r>
        <w:rPr>
          <w:rStyle w:val="field"/>
        </w:rPr>
        <w:t>Municipales 2020 : la recommandation du CSA sur les temps de parole des candidats</w:t>
      </w:r>
      <w:bookmarkEnd w:id="119"/>
    </w:p>
    <w:p w:rsidR="00396A56" w:rsidRDefault="00396A56" w:rsidP="0053282D">
      <w:pPr>
        <w:pStyle w:val="chapo"/>
        <w:spacing w:before="0" w:beforeAutospacing="0" w:after="45" w:afterAutospacing="0"/>
        <w:jc w:val="both"/>
        <w:rPr>
          <w:rStyle w:val="Date1"/>
        </w:rPr>
      </w:pPr>
      <w:hyperlink r:id="rId38" w:history="1">
        <w:r w:rsidRPr="00096658">
          <w:rPr>
            <w:rStyle w:val="Lienhypertexte"/>
          </w:rPr>
          <w:t>https://www.vie-publique.fr/en-bref/273109-municipales-2020-regles-du-csa-et-equite-des-temps-de-parole</w:t>
        </w:r>
      </w:hyperlink>
      <w:r>
        <w:rPr>
          <w:rStyle w:val="Date1"/>
        </w:rPr>
        <w:t xml:space="preserve"> </w:t>
      </w:r>
    </w:p>
    <w:p w:rsidR="00396A56" w:rsidRDefault="00396A56" w:rsidP="0053282D">
      <w:pPr>
        <w:pStyle w:val="chapo"/>
        <w:spacing w:before="0" w:beforeAutospacing="0" w:after="45" w:afterAutospacing="0"/>
        <w:jc w:val="both"/>
        <w:rPr>
          <w:rStyle w:val="Date1"/>
        </w:rPr>
      </w:pPr>
      <w:r>
        <w:rPr>
          <w:rStyle w:val="Date1"/>
        </w:rPr>
        <w:t>5 février 2020</w:t>
      </w:r>
    </w:p>
    <w:p w:rsidR="00396A56" w:rsidRDefault="00396A56" w:rsidP="0053282D">
      <w:pPr>
        <w:pStyle w:val="chapo"/>
        <w:spacing w:before="0" w:beforeAutospacing="0" w:after="45" w:afterAutospacing="0"/>
        <w:jc w:val="both"/>
        <w:rPr>
          <w:rStyle w:val="field"/>
        </w:rPr>
      </w:pPr>
      <w:r>
        <w:rPr>
          <w:rStyle w:val="field"/>
        </w:rPr>
        <w:t>L'accès à la radio et à la télévision pour les candidats en période électorale est soumis au respect de certaines règles définies par le Conseil supérieur de l'audiovisuel (CSA).</w:t>
      </w:r>
    </w:p>
    <w:p w:rsidR="00396A56" w:rsidRDefault="00396A56" w:rsidP="00396A56">
      <w:pPr>
        <w:pStyle w:val="NormalWeb"/>
      </w:pPr>
      <w:r>
        <w:t>Pour les élections municipales des 15 et 22 mars 2020, les règles qui encadrent les temps de parole à la radio et la télévision sont définies par une </w:t>
      </w:r>
      <w:hyperlink r:id="rId39" w:tgtFrame="_blank" w:tooltip="Recommandation n° 2019-04 du 20 novembre 2019 du Conseil supérieur de l'audiovisuel. Légifrance. Nouvelle fenêtre." w:history="1">
        <w:r>
          <w:rPr>
            <w:rStyle w:val="Lienhypertexte"/>
          </w:rPr>
          <w:t xml:space="preserve">recommandation du CSA publiée au </w:t>
        </w:r>
        <w:r>
          <w:rPr>
            <w:rStyle w:val="Accentuation"/>
            <w:color w:val="0000FF"/>
            <w:u w:val="single"/>
          </w:rPr>
          <w:t>Journal officiel</w:t>
        </w:r>
        <w:r>
          <w:rPr>
            <w:rStyle w:val="Lienhypertexte"/>
          </w:rPr>
          <w:t xml:space="preserve"> du 12 décembre 2019</w:t>
        </w:r>
        <w:r>
          <w:rPr>
            <w:rStyle w:val="sr-only"/>
            <w:color w:val="0000FF"/>
            <w:u w:val="single"/>
          </w:rPr>
          <w:t>(nouvelle fenêtre)</w:t>
        </w:r>
      </w:hyperlink>
      <w:r>
        <w:t>. Celle-ci complète une délibération du CSA du 4 janvier 2011 sur le principe de pluralisme politique dans les services de radio et de télévision en période électorale.</w:t>
      </w:r>
    </w:p>
    <w:p w:rsidR="00396A56" w:rsidRDefault="00396A56">
      <w:pPr>
        <w:rPr>
          <w:rStyle w:val="lev"/>
        </w:rPr>
      </w:pPr>
      <w:r>
        <w:rPr>
          <w:rStyle w:val="lev"/>
        </w:rPr>
        <w:br w:type="page"/>
      </w:r>
    </w:p>
    <w:p w:rsidR="00396A56" w:rsidRDefault="00396A56" w:rsidP="00396A56">
      <w:pPr>
        <w:rPr>
          <w:lang w:eastAsia="fr-FR"/>
        </w:rPr>
      </w:pPr>
      <w:r>
        <w:rPr>
          <w:rStyle w:val="lev"/>
        </w:rPr>
        <w:lastRenderedPageBreak/>
        <w:t>Recommandation n° 2019-04 du 20 novembre 2019 du Conseil supérieur de l'audiovisuel aux services de radio et de télévision en vue du renouvellement des conseillers municipaux et communautaires, des conseillers de Paris et des conseillers métropolitains de Lyon les 15 et 22 mars 2020</w:t>
      </w:r>
      <w:r>
        <w:t xml:space="preserve"> </w:t>
      </w:r>
      <w:r>
        <w:br/>
      </w:r>
      <w:r>
        <w:br/>
        <w:t xml:space="preserve">NOR: CSAC1935036X </w:t>
      </w:r>
    </w:p>
    <w:p w:rsidR="00396A56" w:rsidRDefault="00396A56" w:rsidP="00396A56">
      <w:r>
        <w:t xml:space="preserve">ELI: Non disponible </w:t>
      </w:r>
    </w:p>
    <w:p w:rsidR="00396A56" w:rsidRDefault="00396A56" w:rsidP="00396A56">
      <w:pPr>
        <w:pStyle w:val="NormalWeb"/>
      </w:pPr>
      <w:r>
        <w:t>Le Conseil supérieur de l'audiovisuel,</w:t>
      </w:r>
      <w:r>
        <w:br/>
        <w:t xml:space="preserve">Vu le </w:t>
      </w:r>
      <w:hyperlink r:id="rId40" w:history="1">
        <w:r>
          <w:rPr>
            <w:rStyle w:val="Lienhypertexte"/>
          </w:rPr>
          <w:t>code électoral</w:t>
        </w:r>
      </w:hyperlink>
      <w:r>
        <w:t xml:space="preserve"> ;</w:t>
      </w:r>
      <w:r>
        <w:br/>
        <w:t xml:space="preserve">Vu le </w:t>
      </w:r>
      <w:hyperlink r:id="rId41" w:history="1">
        <w:r>
          <w:rPr>
            <w:rStyle w:val="Lienhypertexte"/>
          </w:rPr>
          <w:t>code général des collectivités territoriales</w:t>
        </w:r>
      </w:hyperlink>
      <w:r>
        <w:t xml:space="preserve"> ;</w:t>
      </w:r>
      <w:r>
        <w:br/>
        <w:t xml:space="preserve">Vu la </w:t>
      </w:r>
      <w:hyperlink r:id="rId42" w:history="1">
        <w:r>
          <w:rPr>
            <w:rStyle w:val="Lienhypertexte"/>
          </w:rPr>
          <w:t>loi n° 86-1067 du 30 septembre 1986</w:t>
        </w:r>
      </w:hyperlink>
      <w:r>
        <w:t xml:space="preserve"> modifiée relative à la liberté de communication ;</w:t>
      </w:r>
      <w:r>
        <w:br/>
        <w:t xml:space="preserve">Vu le </w:t>
      </w:r>
      <w:hyperlink r:id="rId43" w:history="1">
        <w:r>
          <w:rPr>
            <w:rStyle w:val="Lienhypertexte"/>
          </w:rPr>
          <w:t>décret n° 2019-928 du 4 septembre 2019</w:t>
        </w:r>
      </w:hyperlink>
      <w:r>
        <w:t xml:space="preserve"> fixant la date du renouvellement des conseillers municipaux et communautaires, des conseillers de Paris et des conseillers métropolitains de Lyon, et portant convocation des électeurs ;</w:t>
      </w:r>
      <w:r>
        <w:br/>
        <w:t xml:space="preserve">Vu la </w:t>
      </w:r>
      <w:hyperlink r:id="rId44" w:history="1">
        <w:r>
          <w:rPr>
            <w:rStyle w:val="Lienhypertexte"/>
          </w:rPr>
          <w:t>délibération n° 2011-1 du 4 janvier 2011</w:t>
        </w:r>
      </w:hyperlink>
      <w:r>
        <w:t xml:space="preserve"> relative au principe de pluralisme politique dans les services de radio et de télévision en période électorale ;</w:t>
      </w:r>
    </w:p>
    <w:p w:rsidR="00396A56" w:rsidRDefault="00396A56" w:rsidP="00396A56">
      <w:pPr>
        <w:pStyle w:val="NormalWeb"/>
      </w:pPr>
      <w:bookmarkStart w:id="120" w:name="JORFARTI000039481986"/>
      <w:bookmarkEnd w:id="120"/>
      <w:r>
        <w:t>Après en avoir délibéré,</w:t>
      </w:r>
      <w:r>
        <w:br/>
        <w:t>Adopte la recommandation suivante :</w:t>
      </w:r>
      <w:r>
        <w:br/>
        <w:t>Le Conseil supérieur de l'audiovisuel a adopté le 4 janvier 2011 une délibération applicable aux services de radio et de télévision en période électorale. La présente recommandation complète cette délibération pour l'élection des conseillers municipaux et des conseillers communautaires qui aura lieu les 15 et 22 mars 2020.</w:t>
      </w:r>
      <w:r>
        <w:br/>
        <w:t>Elle s'applique à l'ensemble des services de radio et de télévision, quel que soit leur mode de diffusion par tout procédé de communication électronique, à compter du lundi 3 février 2020 et jusqu'au jour où l'élection est acquise.</w:t>
      </w:r>
      <w:r>
        <w:br/>
        <w:t>Elle ne s'applique pas aux services qui, exclusivement accessibles par voie de communication au public en ligne, sont consacrés à la propagande électorale des listes de candidats ou des partis et groupements politiques qui les soutiennent.</w:t>
      </w:r>
      <w:r>
        <w:br/>
        <w:t xml:space="preserve">Conformément à la </w:t>
      </w:r>
      <w:hyperlink r:id="rId45" w:history="1">
        <w:r>
          <w:rPr>
            <w:rStyle w:val="Lienhypertexte"/>
          </w:rPr>
          <w:t>délibération n° 2011-1 du 4 janvier 2011</w:t>
        </w:r>
      </w:hyperlink>
      <w:r>
        <w:t xml:space="preserve"> relative au principe de pluralisme politique dans les services de radio et de télévision en période électorale, lorsqu'il est traité d'une circonscription électorale déterminée, les éditeurs veillent à ce que les listes de candidats, les personnalités ou les partis ou groupements politiques qui les soutiennent bénéficient d'une présentation et d'un accès équitables à l'antenne. Lorsque le traitement de l'élection dépasse le cadre d'une circonscription électorale concernée par le scrutin, les éditeurs veillent à ce que les partis et groupements politiques présentant des candidats et leurs soutiens bénéficient d'une présentation et d'un accès équitables à l'antenne.</w:t>
      </w:r>
      <w:r>
        <w:br/>
        <w:t>Le Conseil tient compte, dans son appréciation du respect du principe d'équité, de la représentativité des listes de candidats, appréciée, en particulier, en fonction des résultats obtenus lors du dernier renouvellement général des conseillers municipaux et des conseillers métropolitains de Lyon et aux plus récentes élections par les candidats de la liste ou par les partis et groupements politiques qui les soutiennent et en fonction des indications de sondages d'opinion ; le Conseil tient également compte de la contribution de chacune des listes de candidats et des partis ou groupements qui les soutiennent à l'animation du débat électoral.</w:t>
      </w:r>
    </w:p>
    <w:p w:rsidR="00396A56" w:rsidRDefault="00396A56" w:rsidP="00396A56">
      <w:pPr>
        <w:pStyle w:val="NormalWeb"/>
      </w:pPr>
      <w:r>
        <w:t>1. Traitement de l'actualité liée à l'élection</w:t>
      </w:r>
    </w:p>
    <w:p w:rsidR="00396A56" w:rsidRDefault="00396A56" w:rsidP="00396A56">
      <w:pPr>
        <w:pStyle w:val="NormalWeb"/>
      </w:pPr>
      <w:r>
        <w:t>1° Lorsqu'il est traité des secteurs de Paris, Lyon et Marseille, mentionnés à l'</w:t>
      </w:r>
      <w:hyperlink r:id="rId46" w:history="1">
        <w:r>
          <w:rPr>
            <w:rStyle w:val="Lienhypertexte"/>
          </w:rPr>
          <w:t>article L. 261 du code électoral</w:t>
        </w:r>
      </w:hyperlink>
      <w:r>
        <w:t>, les services de radio et de télévision veillent à ce que les listes de candidats, les personnalités ou les partis et groupements politiques qui les soutiennent bénéficient d'une présentation et d'un accès équitables à l'antenne.</w:t>
      </w:r>
      <w:r>
        <w:br/>
        <w:t>2° Lorsqu'il est traité de la métropole de Lyon, mentionnée à l'</w:t>
      </w:r>
      <w:hyperlink r:id="rId47" w:history="1">
        <w:r>
          <w:rPr>
            <w:rStyle w:val="Lienhypertexte"/>
          </w:rPr>
          <w:t>article L. 224-1 du code électoral</w:t>
        </w:r>
      </w:hyperlink>
      <w:r>
        <w:t xml:space="preserve">, les services de radio et de télévision veillent, conformément au I-1-1° et au I-1-2° de la </w:t>
      </w:r>
      <w:hyperlink r:id="rId48" w:history="1">
        <w:r>
          <w:rPr>
            <w:rStyle w:val="Lienhypertexte"/>
          </w:rPr>
          <w:t>délibération n° 2011-1 du 4 janvier 2011</w:t>
        </w:r>
      </w:hyperlink>
      <w:r>
        <w:t xml:space="preserve"> relative au principe de pluralisme politique dans les services de radio et de télévision </w:t>
      </w:r>
      <w:r>
        <w:lastRenderedPageBreak/>
        <w:t>en période électorale, à ce que les listes de candidats, les personnalités ou les partis et groupements politiques qui les soutiennent bénéficient d'une présentation et d'un accès équitables à l'antenne.</w:t>
      </w:r>
      <w:r>
        <w:br/>
        <w:t>3° Lorsqu'il est traité des communautés de communes, des communautés d'agglomération, des communautés urbaines et des métropoles, à l'exception de la métropole de Lyon, les services de radio et de télévision tiennent compte des équilibres politiques locaux.</w:t>
      </w:r>
    </w:p>
    <w:p w:rsidR="00396A56" w:rsidRDefault="00396A56" w:rsidP="00396A56">
      <w:pPr>
        <w:pStyle w:val="NormalWeb"/>
      </w:pPr>
      <w:r>
        <w:t>2. Relevé des interventions</w:t>
      </w:r>
    </w:p>
    <w:p w:rsidR="00396A56" w:rsidRDefault="00396A56" w:rsidP="00396A56">
      <w:pPr>
        <w:pStyle w:val="NormalWeb"/>
      </w:pPr>
      <w:r>
        <w:t>1° Les éditeurs relèvent les temps de parole des listes de candidats, des partis et groupements politiques et de leurs soutiens dans l'ensemble de leurs programmes.</w:t>
      </w:r>
      <w:r>
        <w:br/>
        <w:t>2° Les temps relevés sont cumulés du lundi 3 février au vendredi 13 mars 2020 inclus, puis du lundi 16 mars au vendredi 20 mars 2020 inclus.</w:t>
      </w:r>
    </w:p>
    <w:p w:rsidR="00396A56" w:rsidRDefault="00396A56" w:rsidP="00396A56">
      <w:pPr>
        <w:pStyle w:val="NormalWeb"/>
      </w:pPr>
      <w:r>
        <w:t>3. Transmission et publication des relevés d'interventions</w:t>
      </w:r>
    </w:p>
    <w:p w:rsidR="00396A56" w:rsidRDefault="00396A56" w:rsidP="00396A56">
      <w:pPr>
        <w:pStyle w:val="NormalWeb"/>
      </w:pPr>
      <w:r>
        <w:t>1° Les services suivants transmettent par voie électronique au Conseil supérieur de l'audiovisuel le décompte des temps de parole des listes de candidats, des partis et groupements politiques et de leurs soutiens relevés dans leurs programmes :</w:t>
      </w:r>
    </w:p>
    <w:p w:rsidR="00396A56" w:rsidRDefault="00396A56" w:rsidP="00396A56">
      <w:pPr>
        <w:pStyle w:val="NormalWeb"/>
      </w:pPr>
      <w:r>
        <w:t>- TF1 ;</w:t>
      </w:r>
      <w:r>
        <w:br/>
        <w:t>- France 2 ;</w:t>
      </w:r>
      <w:r>
        <w:br/>
        <w:t>- France 3 pour son programme national et ses programmes régionaux ;</w:t>
      </w:r>
      <w:r>
        <w:br/>
        <w:t>- France 5 ;</w:t>
      </w:r>
      <w:r>
        <w:br/>
        <w:t>- Outre-mer 1re (radio et télévision)</w:t>
      </w:r>
      <w:r>
        <w:br/>
        <w:t>- France Ô ;</w:t>
      </w:r>
      <w:r>
        <w:br/>
        <w:t>- Canal + pour ses programmes en clair ;</w:t>
      </w:r>
      <w:r>
        <w:br/>
        <w:t>- M6 ;</w:t>
      </w:r>
      <w:r>
        <w:br/>
        <w:t>- BFM TV ;</w:t>
      </w:r>
      <w:r>
        <w:br/>
        <w:t xml:space="preserve">- </w:t>
      </w:r>
      <w:proofErr w:type="spellStart"/>
      <w:r>
        <w:t>CNews</w:t>
      </w:r>
      <w:proofErr w:type="spellEnd"/>
      <w:r>
        <w:t xml:space="preserve"> ;</w:t>
      </w:r>
      <w:r>
        <w:br/>
        <w:t>- LCI ;</w:t>
      </w:r>
      <w:r>
        <w:br/>
        <w:t xml:space="preserve">- </w:t>
      </w:r>
      <w:proofErr w:type="spellStart"/>
      <w:r>
        <w:t>franceinfo</w:t>
      </w:r>
      <w:proofErr w:type="spellEnd"/>
      <w:r>
        <w:t xml:space="preserve"> : ;</w:t>
      </w:r>
      <w:r>
        <w:br/>
        <w:t>- RT France ;</w:t>
      </w:r>
      <w:r>
        <w:br/>
        <w:t>- C8 ;</w:t>
      </w:r>
      <w:r>
        <w:br/>
        <w:t>- TMC ;</w:t>
      </w:r>
      <w:r>
        <w:br/>
        <w:t>- RMC Découverte ;</w:t>
      </w:r>
      <w:r>
        <w:br/>
        <w:t>- RMC Story ;</w:t>
      </w:r>
      <w:r>
        <w:br/>
        <w:t>- France Inter ;</w:t>
      </w:r>
      <w:r>
        <w:br/>
        <w:t>- France Info ;</w:t>
      </w:r>
      <w:r>
        <w:br/>
        <w:t>- France Culture ;</w:t>
      </w:r>
      <w:r>
        <w:br/>
        <w:t>- France Bleu ;</w:t>
      </w:r>
      <w:r>
        <w:br/>
        <w:t>- RTL ;</w:t>
      </w:r>
      <w:r>
        <w:br/>
        <w:t>- Europe 1 ;</w:t>
      </w:r>
      <w:r>
        <w:br/>
        <w:t>- RMC ;</w:t>
      </w:r>
      <w:r>
        <w:br/>
        <w:t>- BFM Business ;</w:t>
      </w:r>
      <w:r>
        <w:br/>
        <w:t>- Radio Classique ;</w:t>
      </w:r>
      <w:r>
        <w:br/>
        <w:t>- Sud Radio ;</w:t>
      </w:r>
      <w:r>
        <w:br/>
        <w:t>- les services de télévision diffusés par voie hertzienne à vocation locale.</w:t>
      </w:r>
    </w:p>
    <w:p w:rsidR="00396A56" w:rsidRDefault="00396A56" w:rsidP="00396A56">
      <w:pPr>
        <w:pStyle w:val="NormalWeb"/>
      </w:pPr>
      <w:r>
        <w:t>2° Pour chaque période mentionnée ci-après, la transmission des temps de parole s'effectue aux dates suivantes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2549"/>
        <w:gridCol w:w="2346"/>
      </w:tblGrid>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 relevée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Dates de transmission</w:t>
            </w:r>
          </w:p>
        </w:tc>
      </w:tr>
      <w:tr w:rsidR="00396A56" w:rsidTr="00396A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A56" w:rsidRDefault="00396A56">
            <w:r>
              <w:t>1er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14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17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21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24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28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6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9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13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16 mars</w:t>
            </w:r>
          </w:p>
        </w:tc>
      </w:tr>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2nd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16 au 20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23 mars</w:t>
            </w:r>
          </w:p>
        </w:tc>
      </w:tr>
    </w:tbl>
    <w:p w:rsidR="00396A56" w:rsidRDefault="00396A56" w:rsidP="00396A56">
      <w:pPr>
        <w:pStyle w:val="NormalWeb"/>
      </w:pPr>
      <w:r>
        <w:t>3° Pour le respect du I-1-1° de l'</w:t>
      </w:r>
      <w:hyperlink r:id="rId49" w:history="1">
        <w:r>
          <w:rPr>
            <w:rStyle w:val="Lienhypertexte"/>
          </w:rPr>
          <w:t>article 2 de la délibération n° 2011-1 du 4 janvier 2011</w:t>
        </w:r>
      </w:hyperlink>
      <w:r>
        <w:t xml:space="preserve"> relative au principe de pluralisme politique dans les services de radio et de télévision en période électorale, les relevés transmis par les éditeurs sont mis en ligne sur le site du Conseil supérieur de l'audiovisuel.</w:t>
      </w:r>
    </w:p>
    <w:p w:rsidR="00396A56" w:rsidRDefault="00396A56" w:rsidP="00396A56">
      <w:pPr>
        <w:pStyle w:val="NormalWeb"/>
      </w:pPr>
      <w:r>
        <w:t>4. Obligations concernant les autres éditeurs</w:t>
      </w:r>
    </w:p>
    <w:p w:rsidR="00396A56" w:rsidRDefault="00396A56" w:rsidP="00396A56">
      <w:pPr>
        <w:pStyle w:val="NormalWeb"/>
      </w:pPr>
      <w:r>
        <w:t>Les autres éditeurs communiquent au Conseil supérieur de l'audiovisuel, à sa demande, tous les éléments relatifs aux interventions des candidats, des partis et groupements politiques et de leurs soutiens.</w:t>
      </w:r>
    </w:p>
    <w:p w:rsidR="00396A56" w:rsidRDefault="00396A56" w:rsidP="00396A56">
      <w:pPr>
        <w:pStyle w:val="NormalWeb"/>
      </w:pPr>
      <w:r>
        <w:t>5. Conservation et transmission d'autres éléments d'information</w:t>
      </w:r>
    </w:p>
    <w:p w:rsidR="00396A56" w:rsidRDefault="00396A56" w:rsidP="00396A56">
      <w:pPr>
        <w:pStyle w:val="NormalWeb"/>
      </w:pPr>
      <w:r>
        <w:t>Les éditeurs conservent les enregistrements audio et vidéo des programmes diffusés au cours de la période couverte par la présente recommandation et les communiquent au Conseil supérieur de l'audiovisuel lorsque celui-ci en fait la demande.</w:t>
      </w:r>
      <w:r>
        <w:br/>
        <w:t>La présente recommandation est applicable à la Polynésie française et à la Nouvelle-Calédonie.</w:t>
      </w:r>
      <w:r>
        <w:br/>
        <w:t>La présente recommandation sera publiée au Journal officiel de la République française.</w:t>
      </w:r>
    </w:p>
    <w:p w:rsidR="00396A56" w:rsidRDefault="00396A56" w:rsidP="00396A56">
      <w:pPr>
        <w:pStyle w:val="NormalWeb"/>
      </w:pPr>
      <w:r>
        <w:t>Fait à Paris, le 20 novembre 2019.</w:t>
      </w:r>
    </w:p>
    <w:p w:rsidR="00396A56" w:rsidRDefault="00396A56" w:rsidP="00396A56">
      <w:pPr>
        <w:pStyle w:val="NormalWeb"/>
      </w:pPr>
      <w:r>
        <w:t>Pour le Conseil supérieur de l'audiovisuel :</w:t>
      </w:r>
      <w:r>
        <w:br/>
        <w:t>Le président,</w:t>
      </w:r>
      <w:r>
        <w:br/>
        <w:t>R.-O. Maistre</w:t>
      </w:r>
    </w:p>
    <w:p w:rsidR="00396A56" w:rsidRDefault="00396A56" w:rsidP="00396A56">
      <w:pPr>
        <w:pStyle w:val="NormalWeb"/>
      </w:pPr>
    </w:p>
    <w:p w:rsidR="00396A56" w:rsidRDefault="00396A56" w:rsidP="00396A56">
      <w:pPr>
        <w:pStyle w:val="Titre2"/>
      </w:pPr>
      <w:r>
        <w:t xml:space="preserve">Présentation et accès équitable à l'antenne pour les candidats </w:t>
      </w:r>
    </w:p>
    <w:p w:rsidR="00396A56" w:rsidRDefault="00396A56" w:rsidP="00396A56">
      <w:pPr>
        <w:pStyle w:val="NormalWeb"/>
      </w:pPr>
      <w:r>
        <w:t>À partir du 3 février 2020 et pendant les six semaines qui précèdent le scrutin, les radios et les télévisions doivent veiller à ce que les candidats et leurs soutiens aient à la fois une présentation et un accès équitables aux antennes. Ces règles s'appliquent à l'ensemble des services quel que soit leur mode de diffusion par tout procédé électronique.</w:t>
      </w:r>
    </w:p>
    <w:p w:rsidR="00396A56" w:rsidRDefault="00396A56" w:rsidP="00396A56">
      <w:pPr>
        <w:pStyle w:val="NormalWeb"/>
      </w:pPr>
      <w:r>
        <w:t>Par ailleurs, quand il est question d'une circonscription électorale déterminée, les chaînes de télévision et les radios veillent à ce que les candidats ou les listes de candidats et leurs soutiens puissent bénéficier d'une présentation et d'un accès équitables à l'antenne.</w:t>
      </w:r>
    </w:p>
    <w:p w:rsidR="00396A56" w:rsidRDefault="00396A56" w:rsidP="00396A56">
      <w:pPr>
        <w:pStyle w:val="NormalWeb"/>
      </w:pPr>
      <w:r>
        <w:t>Enfin, lorsqu'il s'agit de programmes locaux, la couverture de l'actualité doit prendre en compte les équilibres politiques locaux.</w:t>
      </w:r>
    </w:p>
    <w:p w:rsidR="00396A56" w:rsidRDefault="00396A56" w:rsidP="00396A56">
      <w:pPr>
        <w:pStyle w:val="Titre2"/>
      </w:pPr>
      <w:r>
        <w:t xml:space="preserve">Un temps d'antenne en fonction de la représentativité des listes de candidats </w:t>
      </w:r>
    </w:p>
    <w:p w:rsidR="00396A56" w:rsidRDefault="00396A56" w:rsidP="00396A56">
      <w:pPr>
        <w:pStyle w:val="NormalWeb"/>
      </w:pPr>
      <w:r>
        <w:t>Les services de radio et de télévision doivent assurer aux partis et groupements politiques un temps de parole équitable fixé en fonction de leur représentativité.</w:t>
      </w:r>
    </w:p>
    <w:p w:rsidR="00396A56" w:rsidRDefault="00396A56" w:rsidP="00396A56">
      <w:pPr>
        <w:pStyle w:val="NormalWeb"/>
      </w:pPr>
      <w:r>
        <w:lastRenderedPageBreak/>
        <w:t>Cette représentativité est mesurée notamment en fonction :</w:t>
      </w:r>
    </w:p>
    <w:p w:rsidR="00396A56" w:rsidRDefault="00396A56" w:rsidP="00396A56">
      <w:pPr>
        <w:numPr>
          <w:ilvl w:val="0"/>
          <w:numId w:val="22"/>
        </w:numPr>
        <w:spacing w:before="100" w:beforeAutospacing="1" w:after="100" w:afterAutospacing="1"/>
      </w:pPr>
      <w:proofErr w:type="gramStart"/>
      <w:r>
        <w:t>des</w:t>
      </w:r>
      <w:proofErr w:type="gramEnd"/>
      <w:r>
        <w:t xml:space="preserve"> résultats obtenus lors du dernier renouvellement général des conseillers municipaux et aux plus récentes élections ;</w:t>
      </w:r>
    </w:p>
    <w:p w:rsidR="00396A56" w:rsidRDefault="00396A56" w:rsidP="00396A56">
      <w:pPr>
        <w:numPr>
          <w:ilvl w:val="0"/>
          <w:numId w:val="22"/>
        </w:numPr>
        <w:spacing w:before="100" w:beforeAutospacing="1" w:after="100" w:afterAutospacing="1"/>
      </w:pPr>
      <w:proofErr w:type="gramStart"/>
      <w:r>
        <w:t>des</w:t>
      </w:r>
      <w:proofErr w:type="gramEnd"/>
      <w:r>
        <w:t xml:space="preserve"> indications de sondages d'opinion ;</w:t>
      </w:r>
    </w:p>
    <w:p w:rsidR="00396A56" w:rsidRDefault="00396A56" w:rsidP="00396A56">
      <w:pPr>
        <w:numPr>
          <w:ilvl w:val="0"/>
          <w:numId w:val="22"/>
        </w:numPr>
        <w:spacing w:before="100" w:beforeAutospacing="1" w:after="100" w:afterAutospacing="1"/>
      </w:pPr>
      <w:proofErr w:type="gramStart"/>
      <w:r>
        <w:t>de</w:t>
      </w:r>
      <w:proofErr w:type="gramEnd"/>
      <w:r>
        <w:t xml:space="preserve"> la contribution des partis à l'animation du débat national.</w:t>
      </w:r>
    </w:p>
    <w:p w:rsidR="00396A56" w:rsidRDefault="00396A56" w:rsidP="00396A56">
      <w:pPr>
        <w:pStyle w:val="NormalWeb"/>
      </w:pPr>
      <w:r>
        <w:t>Ces temps de parole sont comptabilisés par les médias qui les communiquent au CSA chaque semaine à partir du 17 février 2020. Le CSA les met ensuite en ligne sur son site web chaque semaine. </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pPr>
      <w:bookmarkStart w:id="121" w:name="_Toc33528212"/>
      <w:r>
        <w:t>Municipales 2014 -La communication institutionnelle en période préélectorale -Analyse</w:t>
      </w:r>
      <w:r w:rsidRPr="0053282D">
        <w:rPr>
          <w:rStyle w:val="lev"/>
        </w:rPr>
        <w:t xml:space="preserve"> </w:t>
      </w:r>
      <w:r>
        <w:rPr>
          <w:rStyle w:val="lev"/>
        </w:rPr>
        <w:br/>
        <w:t>Par Jean-Louis Vasseur, avocat associé, SCP Seban &amp; associés</w:t>
      </w:r>
      <w:bookmarkEnd w:id="121"/>
    </w:p>
    <w:p w:rsidR="00396A56" w:rsidRDefault="00396A56" w:rsidP="00396A56">
      <w:hyperlink r:id="rId50" w:history="1">
        <w:r w:rsidRPr="006C0750">
          <w:rPr>
            <w:rStyle w:val="Lienhypertexte"/>
          </w:rPr>
          <w:t>http://www.courrierdesmaires.fr/8755/municipales-2014-la-communication-institutionnelle-en-periode-preelectorale-analyse/</w:t>
        </w:r>
      </w:hyperlink>
      <w:r>
        <w:rPr>
          <w:rStyle w:val="author"/>
        </w:rPr>
        <w:t xml:space="preserve"> </w:t>
      </w:r>
    </w:p>
    <w:p w:rsidR="00396A56" w:rsidRDefault="00396A56" w:rsidP="00396A56">
      <w:pPr>
        <w:pStyle w:val="chapo"/>
        <w:spacing w:before="0" w:beforeAutospacing="0" w:after="0" w:afterAutospacing="0"/>
      </w:pPr>
      <w:r>
        <w:t>Les collectivités territoriales, les établissements publics de coopération intercommunale (EPCI) et leurs élus ne doivent prendre aucune initiative susceptible d'être motivée par des considérations électoralistes, ou appréciée comme telle.</w:t>
      </w:r>
    </w:p>
    <w:p w:rsidR="00396A56" w:rsidRDefault="00396A56" w:rsidP="00396A56">
      <w:pPr>
        <w:pStyle w:val="NormalWeb"/>
        <w:spacing w:before="0" w:beforeAutospacing="0" w:after="0" w:afterAutospacing="0"/>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396A56" w:rsidRDefault="00396A56" w:rsidP="00396A56">
      <w:pPr>
        <w:pStyle w:val="NormalWeb"/>
        <w:spacing w:before="0" w:beforeAutospacing="0" w:after="0" w:afterAutospacing="0"/>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396A56" w:rsidRDefault="00396A56" w:rsidP="00396A56">
      <w:pPr>
        <w:pStyle w:val="NormalWeb"/>
        <w:spacing w:before="0" w:beforeAutospacing="0" w:after="0" w:afterAutospacing="0"/>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396A56" w:rsidRDefault="00396A56" w:rsidP="00396A56">
      <w:pPr>
        <w:pStyle w:val="NormalWeb"/>
        <w:spacing w:before="0" w:beforeAutospacing="0" w:after="0" w:afterAutospacing="0"/>
      </w:pPr>
      <w:r>
        <w:t>Il existe plusieurs grandes dispositions dans le Code électoral limitant la communication institutionnelle en période préélectorale.</w:t>
      </w:r>
    </w:p>
    <w:p w:rsidR="00396A56" w:rsidRDefault="00396A56" w:rsidP="00396A56">
      <w:pPr>
        <w:pStyle w:val="NormalWeb"/>
        <w:spacing w:before="0" w:beforeAutospacing="0" w:after="0" w:afterAutospacing="0"/>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396A56" w:rsidRDefault="00396A56" w:rsidP="00396A56">
      <w:pPr>
        <w:pStyle w:val="Titre2"/>
      </w:pPr>
      <w:bookmarkStart w:id="122" w:name="principesgeneraux"/>
      <w:bookmarkEnd w:id="122"/>
      <w:r>
        <w:t>I. Les principes généraux</w:t>
      </w:r>
    </w:p>
    <w:p w:rsidR="00396A56" w:rsidRDefault="00396A56" w:rsidP="00396A56">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396A56" w:rsidRDefault="00396A56" w:rsidP="00396A56">
      <w:pPr>
        <w:pStyle w:val="NormalWeb"/>
        <w:spacing w:before="0" w:beforeAutospacing="0" w:after="0" w:afterAutospacing="0"/>
      </w:pPr>
      <w:r>
        <w:t>Ces principes s’appliquent de manière alternative et non cumulative.</w:t>
      </w:r>
    </w:p>
    <w:p w:rsidR="00396A56" w:rsidRDefault="00396A56" w:rsidP="00396A56">
      <w:pPr>
        <w:pStyle w:val="NormalWeb"/>
        <w:spacing w:before="0" w:beforeAutospacing="0" w:after="0" w:afterAutospacing="0"/>
      </w:pPr>
      <w:r>
        <w:rPr>
          <w:rStyle w:val="lev"/>
        </w:rPr>
        <w:t>Antériorité</w:t>
      </w:r>
    </w:p>
    <w:p w:rsidR="00396A56" w:rsidRDefault="00396A56" w:rsidP="00396A56">
      <w:pPr>
        <w:pStyle w:val="NormalWeb"/>
        <w:spacing w:before="0" w:beforeAutospacing="0" w:after="0" w:afterAutospacing="0"/>
      </w:pPr>
      <w:r>
        <w:t xml:space="preserve">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w:t>
      </w:r>
      <w:r>
        <w:lastRenderedPageBreak/>
        <w:t>d’une publication ne doit pas avoir un caractère nouveau, la publication doit avoir été déjà diffusée précédemment.</w:t>
      </w:r>
    </w:p>
    <w:p w:rsidR="00396A56" w:rsidRDefault="00396A56" w:rsidP="00396A56">
      <w:pPr>
        <w:pStyle w:val="NormalWeb"/>
        <w:spacing w:before="0" w:beforeAutospacing="0" w:after="0" w:afterAutospacing="0"/>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396A56" w:rsidRDefault="00396A56" w:rsidP="00396A56">
      <w:pPr>
        <w:pStyle w:val="NormalWeb"/>
        <w:spacing w:before="0" w:beforeAutospacing="0" w:after="0" w:afterAutospacing="0"/>
      </w:pPr>
      <w:r>
        <w:rPr>
          <w:rStyle w:val="lev"/>
        </w:rPr>
        <w:t>Régularité</w:t>
      </w:r>
    </w:p>
    <w:p w:rsidR="00396A56" w:rsidRDefault="00396A56" w:rsidP="00396A56">
      <w:pPr>
        <w:pStyle w:val="NormalWeb"/>
        <w:spacing w:before="0" w:beforeAutospacing="0" w:after="0" w:afterAutospacing="0"/>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396A56" w:rsidRDefault="00396A56" w:rsidP="00396A56">
      <w:pPr>
        <w:pStyle w:val="NormalWeb"/>
        <w:spacing w:before="0" w:beforeAutospacing="0" w:after="0" w:afterAutospacing="0"/>
      </w:pPr>
      <w:r>
        <w:rPr>
          <w:rStyle w:val="lev"/>
        </w:rPr>
        <w:t>Identité</w:t>
      </w:r>
    </w:p>
    <w:p w:rsidR="00396A56" w:rsidRDefault="00396A56" w:rsidP="00396A56">
      <w:pPr>
        <w:pStyle w:val="NormalWeb"/>
        <w:spacing w:before="0" w:beforeAutospacing="0" w:after="0" w:afterAutospacing="0"/>
      </w:pPr>
      <w:r>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396A56" w:rsidRDefault="00396A56" w:rsidP="00396A56">
      <w:pPr>
        <w:pStyle w:val="NormalWeb"/>
        <w:spacing w:before="0" w:beforeAutospacing="0" w:after="0" w:afterAutospacing="0"/>
      </w:pPr>
      <w:r>
        <w:rPr>
          <w:rStyle w:val="lev"/>
        </w:rPr>
        <w:t>Neutralité</w:t>
      </w:r>
    </w:p>
    <w:p w:rsidR="00396A56" w:rsidRDefault="00396A56" w:rsidP="00396A56">
      <w:pPr>
        <w:pStyle w:val="NormalWeb"/>
        <w:spacing w:before="0" w:beforeAutospacing="0" w:after="0" w:afterAutospacing="0"/>
      </w:pPr>
      <w:r>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396A56" w:rsidRDefault="00396A56" w:rsidP="00396A56">
      <w:pPr>
        <w:pStyle w:val="marticleencadre"/>
        <w:spacing w:before="0" w:beforeAutospacing="0" w:after="0" w:afterAutospacing="0"/>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396A56" w:rsidRDefault="00396A56" w:rsidP="00396A56">
      <w:pPr>
        <w:pStyle w:val="NormalWeb"/>
        <w:spacing w:before="0" w:beforeAutospacing="0" w:after="0" w:afterAutospacing="0"/>
      </w:pPr>
      <w:r>
        <w:t>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Portel).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396A56" w:rsidRDefault="00396A56" w:rsidP="00396A56">
      <w:pPr>
        <w:pStyle w:val="Titre2"/>
      </w:pPr>
      <w:bookmarkStart w:id="123" w:name="principales"/>
      <w:bookmarkEnd w:id="123"/>
      <w:r>
        <w:t>II. Les principales règles juridiques</w:t>
      </w:r>
    </w:p>
    <w:p w:rsidR="00396A56" w:rsidRDefault="00396A56" w:rsidP="00396A56">
      <w:pPr>
        <w:pStyle w:val="NormalWeb"/>
        <w:spacing w:before="0" w:beforeAutospacing="0" w:after="0" w:afterAutospacing="0"/>
      </w:pPr>
      <w:r>
        <w:rPr>
          <w:rStyle w:val="lev"/>
        </w:rPr>
        <w:t>Interdiction d’apporter une aide directe ou indirecte au candidat</w:t>
      </w:r>
    </w:p>
    <w:p w:rsidR="00396A56" w:rsidRDefault="00396A56" w:rsidP="00396A56">
      <w:pPr>
        <w:pStyle w:val="NormalWeb"/>
        <w:spacing w:before="0" w:beforeAutospacing="0" w:after="0" w:afterAutospacing="0"/>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396A56" w:rsidRDefault="00396A56" w:rsidP="00396A56">
      <w:pPr>
        <w:pStyle w:val="NormalWeb"/>
        <w:spacing w:before="0" w:beforeAutospacing="0" w:after="0" w:afterAutospacing="0"/>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396A56" w:rsidRDefault="00396A56" w:rsidP="00396A56">
      <w:pPr>
        <w:pStyle w:val="marticleencadre"/>
        <w:spacing w:before="0" w:beforeAutospacing="0" w:after="0" w:afterAutospacing="0"/>
      </w:pPr>
      <w:r>
        <w:rPr>
          <w:rStyle w:val="lev"/>
        </w:rPr>
        <w:t>A noter -</w:t>
      </w:r>
      <w:r>
        <w:t xml:space="preserve"> </w:t>
      </w:r>
      <w:r>
        <w:rPr>
          <w:rStyle w:val="lev"/>
        </w:rPr>
        <w:t>Une aide prohibée d’une collectivité à un candidat qui aurait été apportée avant cette date ne devrait pas être considérée comme une aide prohibée au sens de l’article L.52-8. Le juge électoral semble bien s’en tenir à cette date, puisqu’il a jugé qu’un sondage d’opinion effectué et dont la dépense correspondante a été engagée avant l’ouverture du délai d’un an, n’avait pas à figurer sur le compte de campagne et qu’il ne constituait pas un don prohibé (CE 31 janv. 1997, n°179300).</w:t>
      </w:r>
    </w:p>
    <w:p w:rsidR="00396A56" w:rsidRDefault="00396A56" w:rsidP="00396A56">
      <w:pPr>
        <w:pStyle w:val="NormalWeb"/>
        <w:spacing w:before="0" w:beforeAutospacing="0" w:after="0" w:afterAutospacing="0"/>
      </w:pPr>
      <w:r>
        <w:rPr>
          <w:rStyle w:val="lev"/>
        </w:rPr>
        <w:t>Les personnes concernées</w:t>
      </w:r>
    </w:p>
    <w:p w:rsidR="00396A56" w:rsidRDefault="00396A56" w:rsidP="00396A56">
      <w:pPr>
        <w:pStyle w:val="NormalWeb"/>
        <w:spacing w:before="0" w:beforeAutospacing="0" w:after="0" w:afterAutospacing="0"/>
      </w:pPr>
      <w:r>
        <w:t xml:space="preserve">L’interdiction vise toutes les personnes morales, sauf les partis ou groupements politiques à la condition que l’association de financement du parti ou groupement politique ait été agréée par la Commission </w:t>
      </w:r>
      <w:r>
        <w:lastRenderedPageBreak/>
        <w:t>nationale des comptes de campagne et des financements politiques (CNCCFP), avant que cette dernière ne se prononce sur la régularité du compte de campagne (CC 27 février 2003, AN Martinique 3e circ).</w:t>
      </w:r>
    </w:p>
    <w:p w:rsidR="00396A56" w:rsidRDefault="00396A56" w:rsidP="00396A56">
      <w:pPr>
        <w:pStyle w:val="NormalWeb"/>
        <w:spacing w:before="0" w:beforeAutospacing="0" w:after="0" w:afterAutospacing="0"/>
      </w:pPr>
      <w:r>
        <w:t>Elle vise les établissements publics locaux, les EPCI, les sociétés d’économie mixtes locales. Elle vise aussi les entreprises, les associations loi de 1901.</w:t>
      </w:r>
    </w:p>
    <w:p w:rsidR="00396A56" w:rsidRDefault="00396A56" w:rsidP="00396A56">
      <w:pPr>
        <w:pStyle w:val="NormalWeb"/>
        <w:spacing w:before="0" w:beforeAutospacing="0" w:after="0" w:afterAutospacing="0"/>
      </w:pPr>
      <w:r>
        <w:t>Les aides prohibées. L’interdiction vise toute forme de don : don en espèces, avantage en nature, réduction de prix par rapport au marché pour un bien ou une prestation équivalente.</w:t>
      </w:r>
    </w:p>
    <w:p w:rsidR="00396A56" w:rsidRDefault="00396A56" w:rsidP="00396A56">
      <w:pPr>
        <w:numPr>
          <w:ilvl w:val="0"/>
          <w:numId w:val="7"/>
        </w:numPr>
        <w:ind w:left="0" w:firstLine="0"/>
      </w:pPr>
      <w:r>
        <w:t>Il a été jugé que constitue un don prohibé l’utilisation par un élu candidat – sans le payer – d’un cliché photographique appartenant à la mairie, valeur 25 000 francs (CE 29 janv. 1997, El. mun. Calluire et Cuire), de même que la publication d’un mensuel financé par la commune durant toute l’année précédant l’élection et comportant des éléments de propagande électorale (CE 15 janv. 1997, El. mun. de Villeurbanne), ou l’utilisation d’un véhicule de fonction de société (CC 27 mars 2003, AN Ariège 2e circ.).</w:t>
      </w:r>
    </w:p>
    <w:p w:rsidR="00396A56" w:rsidRDefault="00396A56" w:rsidP="00396A56">
      <w:pPr>
        <w:numPr>
          <w:ilvl w:val="0"/>
          <w:numId w:val="7"/>
        </w:numPr>
        <w:ind w:left="0" w:firstLine="0"/>
      </w:pPr>
      <w:r>
        <w:t> Constitue aussi un don prohibé l’utilisation du personnel municipal au cours du service pour apporter son concours à la campagne électorale d’un élu (CE 8 nov. 1999, El. cant. de Bruz) ou la mise à disposition massive des compétences et des services d’un nombre élevé de salariés de la collectivité.</w:t>
      </w:r>
    </w:p>
    <w:p w:rsidR="00396A56" w:rsidRDefault="00396A56" w:rsidP="00396A56">
      <w:pPr>
        <w:numPr>
          <w:ilvl w:val="0"/>
          <w:numId w:val="7"/>
        </w:numPr>
        <w:ind w:left="0" w:firstLine="0"/>
      </w:pPr>
      <w:r>
        <w:t>Constitue une aide prohibée d’une personne morale de droit public la mise à disposition gratuite d’une salle publique au profit exclusif d’un candidat (CE 18 mars 2005, CNCCFP/Mme Hervée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Const. 13 fév. 1998, AN Val-d’Oise 5e circ.).</w:t>
      </w:r>
    </w:p>
    <w:p w:rsidR="00396A56" w:rsidRDefault="00396A56" w:rsidP="00396A56">
      <w:pPr>
        <w:pStyle w:val="marticleencadre"/>
      </w:pPr>
      <w:r>
        <w:rPr>
          <w:rStyle w:val="lev"/>
        </w:rPr>
        <w:t>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cant. de Saint-Cloud n°353536). En revanche, la tribune de la majorité et l’éditorial du maire doivent rester neutres ce qui n’est pas sans créer une rupture d’égalité entre les candidats.</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396A56" w:rsidRDefault="00396A56" w:rsidP="00396A56">
      <w:pPr>
        <w:pStyle w:val="NormalWeb"/>
        <w:spacing w:before="0" w:beforeAutospacing="0" w:after="0" w:afterAutospacing="0"/>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396A56" w:rsidRDefault="00396A56" w:rsidP="00396A56">
      <w:pPr>
        <w:pStyle w:val="NormalWeb"/>
        <w:spacing w:before="0" w:beforeAutospacing="0" w:after="0" w:afterAutospacing="0"/>
      </w:pPr>
      <w:r>
        <w:rPr>
          <w:rStyle w:val="lev"/>
        </w:rPr>
        <w:t>L’appréciation du juge</w:t>
      </w:r>
    </w:p>
    <w:p w:rsidR="00396A56" w:rsidRDefault="00396A56" w:rsidP="00396A56">
      <w:pPr>
        <w:pStyle w:val="NormalWeb"/>
        <w:spacing w:before="0" w:beforeAutospacing="0" w:after="0" w:afterAutospacing="0"/>
      </w:pPr>
      <w:r>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396A56" w:rsidRDefault="00396A56" w:rsidP="00396A56">
      <w:pPr>
        <w:pStyle w:val="NormalWeb"/>
        <w:spacing w:before="0" w:beforeAutospacing="0" w:after="0" w:afterAutospacing="0"/>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396A56" w:rsidRDefault="00396A56" w:rsidP="00396A56">
      <w:pPr>
        <w:pStyle w:val="NormalWeb"/>
        <w:spacing w:before="0" w:beforeAutospacing="0" w:after="0" w:afterAutospacing="0"/>
      </w:pPr>
      <w:r>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396A56" w:rsidRDefault="00396A56" w:rsidP="00396A56">
      <w:pPr>
        <w:pStyle w:val="NormalWeb"/>
        <w:spacing w:before="0" w:beforeAutospacing="0" w:after="0" w:afterAutospacing="0"/>
      </w:pPr>
      <w:r>
        <w:rPr>
          <w:rStyle w:val="lev"/>
        </w:rPr>
        <w:lastRenderedPageBreak/>
        <w:t>Interdiction de toute campagne de promotion publicitaire</w:t>
      </w:r>
    </w:p>
    <w:p w:rsidR="00396A56" w:rsidRDefault="00396A56" w:rsidP="00396A56">
      <w:pPr>
        <w:pStyle w:val="NormalWeb"/>
        <w:spacing w:before="0" w:beforeAutospacing="0" w:after="0" w:afterAutospacing="0"/>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396A56" w:rsidRDefault="00396A56" w:rsidP="00396A56">
      <w:pPr>
        <w:pStyle w:val="NormalWeb"/>
        <w:spacing w:before="0" w:beforeAutospacing="0" w:after="0" w:afterAutospacing="0"/>
      </w:pPr>
      <w:r>
        <w:t>La portée de l’interdiction. Il y a campagne de promotion publicitaire dès lors que l’initiative de communication dépasse l’information classique pour devenir un instrument de promotion des réalisations d’une municipalité et de ses élus.</w:t>
      </w:r>
    </w:p>
    <w:p w:rsidR="00396A56" w:rsidRDefault="00396A56" w:rsidP="00396A56">
      <w:pPr>
        <w:pStyle w:val="marticleencadre"/>
        <w:spacing w:before="0" w:beforeAutospacing="0" w:after="0" w:afterAutospacing="0"/>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396A56" w:rsidRDefault="00396A56" w:rsidP="00396A56">
      <w:pPr>
        <w:pStyle w:val="NormalWeb"/>
        <w:spacing w:before="0" w:beforeAutospacing="0" w:after="0" w:afterAutospacing="0"/>
      </w:pPr>
      <w:r>
        <w:t>C’est le cas notamment, d’une commune qui assure la promotion de son maire aux élections cantonales (CE 28 juil. 1993, Fourcade), d’un établissement public de coopération intercommunale assurant la promotion de son président candidat aux élections législatives (Cons. Const. 4 nov. 1993, AN Rhône 2e circ.) ou aux élections régionales (CE 11 déc. 1998, El. rég. Rhône-Alpes).</w:t>
      </w:r>
    </w:p>
    <w:p w:rsidR="00396A56" w:rsidRDefault="00396A56" w:rsidP="00396A56">
      <w:pPr>
        <w:pStyle w:val="NormalWeb"/>
        <w:spacing w:before="0" w:beforeAutospacing="0" w:after="0" w:afterAutospacing="0"/>
      </w:pPr>
      <w:r>
        <w:t>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cant. Bordères-sur-l’Echez).</w:t>
      </w:r>
    </w:p>
    <w:p w:rsidR="00396A56" w:rsidRDefault="00396A56" w:rsidP="00396A56">
      <w:pPr>
        <w:numPr>
          <w:ilvl w:val="0"/>
          <w:numId w:val="8"/>
        </w:numPr>
        <w:ind w:left="0" w:firstLine="0"/>
      </w:pPr>
      <w:r>
        <w:t>Constituent une campagne prohibée des initiatives nombreuses et répétées mettant en valeur l’action de la collectivité : intensité accrue de la publication du magazine municipal, quatre numéros spéciaux consacrés à mettre en valeur l’action municipale, dont le bilan de la municipalité, des inaugurations réitérées (CE, 10 juillet 2009, El. mun. de Briançon).</w:t>
      </w:r>
    </w:p>
    <w:p w:rsidR="00396A56" w:rsidRDefault="00396A56" w:rsidP="00396A56">
      <w:pPr>
        <w:numPr>
          <w:ilvl w:val="0"/>
          <w:numId w:val="8"/>
        </w:numPr>
        <w:ind w:left="0" w:firstLine="0"/>
      </w:pPr>
      <w:r>
        <w:t>Constitue une violation des dispositions de l’article L.52-1 alinéa 2 l’inauguration d’une bibliothèque municipale en présence d’un ministre deux mois avant le scrutin, mais aussi plus d’un an et demi après son ouverture au public (CE 7 mai 1997, El. mun. d’Annonay).</w:t>
      </w:r>
    </w:p>
    <w:p w:rsidR="00396A56" w:rsidRDefault="00396A56" w:rsidP="00396A56">
      <w:pPr>
        <w:numPr>
          <w:ilvl w:val="0"/>
          <w:numId w:val="8"/>
        </w:numPr>
        <w:ind w:left="0" w:firstLine="0"/>
      </w:pPr>
      <w:r>
        <w:t>La visite d’un parc quelques jours avant le scrutin à laquelle la population locale est invitée à participer par tracts édités par le département est une campagne de promotion illégale (CE 25 septembre 1995, El. cant. de Vitry-sur-Seine Ouest n°163051).</w:t>
      </w:r>
    </w:p>
    <w:p w:rsidR="00396A56" w:rsidRDefault="00396A56" w:rsidP="00396A56">
      <w:pPr>
        <w:pStyle w:val="marticleencadre"/>
      </w:pPr>
      <w:r>
        <w:rPr>
          <w:rStyle w:val="lev"/>
        </w:rPr>
        <w:t>A noter -</w:t>
      </w:r>
      <w:r>
        <w:t xml:space="preserve"> </w:t>
      </w:r>
      <w:r>
        <w:rPr>
          <w:rStyle w:val="lev"/>
        </w:rPr>
        <w:t>Une collectivité peut continuer à organiser des manifestations nombreuses si elles sont analogues à celles des années précédentes (Cons. Const. 20 janvier 2003, AN Hauts-de-Seine 5e circ. 2002-2654). Ne sont pas interdites non plus les réunions destinées à présenter la municipalité aux nouveaux habitants arrivant dans la commune (CE 22 nov. 1995, Elections cantonales Bois-Colombes n°163105).</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L.52-1 alinéa 2 entraîne également des sanctions sévères puisqu’elle peut se traduire par l’annulation des élections en cas d’écart faible entre des voix des candidats (CE, 5 juin 1996 ,El. mun. Morhange – écart faible, annulation ; CE 10 juin 1996, El. cant.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396A56" w:rsidRDefault="00396A56" w:rsidP="00396A56">
      <w:pPr>
        <w:pStyle w:val="NormalWeb"/>
        <w:spacing w:before="0" w:beforeAutospacing="0" w:after="0" w:afterAutospacing="0"/>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396A56" w:rsidRDefault="00396A56" w:rsidP="00396A56">
      <w:pPr>
        <w:pStyle w:val="marticleencadre"/>
        <w:spacing w:before="0" w:beforeAutospacing="0" w:after="0" w:afterAutospacing="0"/>
      </w:pPr>
      <w:r>
        <w:rPr>
          <w:rStyle w:val="lev"/>
        </w:rPr>
        <w:t>A SAVOIR</w:t>
      </w:r>
    </w:p>
    <w:p w:rsidR="00396A56" w:rsidRDefault="00396A56" w:rsidP="00396A56">
      <w:pPr>
        <w:pStyle w:val="marticleencadre"/>
        <w:spacing w:before="0" w:beforeAutospacing="0" w:after="0" w:afterAutospacing="0"/>
      </w:pPr>
      <w:r>
        <w:rPr>
          <w:rStyle w:val="lev"/>
        </w:rPr>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396A56" w:rsidRDefault="00396A56" w:rsidP="00396A56">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w:t>
      </w:r>
      <w:r>
        <w:lastRenderedPageBreak/>
        <w:t>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396A56" w:rsidRDefault="00396A56" w:rsidP="00396A56">
      <w:pPr>
        <w:pStyle w:val="AdresseHTML"/>
      </w:pPr>
      <w:r>
        <w:t>© Le Courrier des maires, n°0266, du 7 mars 2013</w:t>
      </w:r>
    </w:p>
    <w:p w:rsidR="00396A56" w:rsidRDefault="00396A56" w:rsidP="00396A56"/>
    <w:p w:rsidR="00396A56" w:rsidRDefault="00396A56" w:rsidP="00396A56">
      <w:pPr>
        <w:rPr>
          <w:rFonts w:asciiTheme="majorHAnsi" w:eastAsiaTheme="majorEastAsia" w:hAnsiTheme="majorHAnsi" w:cstheme="majorBidi"/>
          <w:b/>
          <w:bCs/>
          <w:color w:val="365F91" w:themeColor="accent1" w:themeShade="BF"/>
          <w:sz w:val="28"/>
          <w:szCs w:val="28"/>
        </w:rPr>
      </w:pPr>
    </w:p>
    <w:p w:rsidR="0053282D" w:rsidRPr="003577E0" w:rsidRDefault="003577E0" w:rsidP="0053282D">
      <w:pPr>
        <w:pStyle w:val="Titre1"/>
        <w:pBdr>
          <w:top w:val="single" w:sz="4" w:space="1" w:color="auto"/>
        </w:pBdr>
        <w:rPr>
          <w:lang w:eastAsia="fr-FR"/>
        </w:rPr>
      </w:pPr>
      <w:bookmarkStart w:id="124" w:name="_Toc33528213"/>
      <w:r w:rsidRPr="00AF3BFA">
        <w:rPr>
          <w:lang w:eastAsia="fr-FR"/>
        </w:rPr>
        <w:t xml:space="preserve">Communication en période électorale : rappel des règles de référence </w:t>
      </w:r>
      <w:r w:rsidR="0053282D">
        <w:rPr>
          <w:lang w:eastAsia="fr-FR"/>
        </w:rPr>
        <w:br/>
      </w:r>
      <w:r w:rsidR="0053282D" w:rsidRPr="003577E0">
        <w:rPr>
          <w:lang w:eastAsia="fr-FR"/>
        </w:rPr>
        <w:t>Rolande PLACIDI, Avocat au Barreau de Strasbourg.</w:t>
      </w:r>
      <w:bookmarkEnd w:id="124"/>
    </w:p>
    <w:p w:rsidR="0053282D" w:rsidRDefault="003577E0" w:rsidP="0053282D">
      <w:r>
        <w:rPr>
          <w:noProof/>
          <w:lang w:eastAsia="fr-FR"/>
        </w:rPr>
        <w:drawing>
          <wp:inline distT="0" distB="0" distL="0" distR="0" wp14:anchorId="2C3FF155" wp14:editId="2C1A236B">
            <wp:extent cx="3600450" cy="1968092"/>
            <wp:effectExtent l="0" t="0" r="0" b="0"/>
            <wp:docPr id="1" name="Image 1" descr="http://www.cap-com.org/sites/default/files/styles/article/public/field/image/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com.org/sites/default/files/styles/article/public/field/image/Electio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00450" cy="1968092"/>
                    </a:xfrm>
                    <a:prstGeom prst="rect">
                      <a:avLst/>
                    </a:prstGeom>
                    <a:noFill/>
                    <a:ln>
                      <a:noFill/>
                    </a:ln>
                  </pic:spPr>
                </pic:pic>
              </a:graphicData>
            </a:graphic>
          </wp:inline>
        </w:drawing>
      </w:r>
    </w:p>
    <w:p w:rsidR="0053282D" w:rsidRPr="003577E0" w:rsidRDefault="002C3BB2" w:rsidP="0053282D">
      <w:pPr>
        <w:rPr>
          <w:bCs/>
          <w:sz w:val="22"/>
          <w:szCs w:val="36"/>
          <w:lang w:eastAsia="fr-FR"/>
        </w:rPr>
      </w:pPr>
      <w:hyperlink r:id="rId52" w:history="1">
        <w:r w:rsidR="0053282D" w:rsidRPr="003577E0">
          <w:rPr>
            <w:rStyle w:val="Lienhypertexte"/>
            <w:bCs/>
            <w:sz w:val="22"/>
            <w:szCs w:val="36"/>
            <w:lang w:eastAsia="fr-FR"/>
          </w:rPr>
          <w:t>http://www.cap-com.org/content/communication-et-periode-electorale-la-vigilance-s-impose</w:t>
        </w:r>
      </w:hyperlink>
      <w:r w:rsidR="0053282D" w:rsidRPr="003577E0">
        <w:rPr>
          <w:bCs/>
          <w:sz w:val="22"/>
          <w:szCs w:val="36"/>
          <w:lang w:eastAsia="fr-FR"/>
        </w:rPr>
        <w:t xml:space="preserve"> </w:t>
      </w:r>
    </w:p>
    <w:p w:rsidR="003577E0" w:rsidRPr="003577E0" w:rsidRDefault="003577E0" w:rsidP="00AF3BFA">
      <w:pPr>
        <w:ind w:left="851"/>
        <w:rPr>
          <w:lang w:eastAsia="fr-FR"/>
        </w:rPr>
      </w:pPr>
    </w:p>
    <w:p w:rsidR="003577E0" w:rsidRPr="003577E0" w:rsidRDefault="003577E0" w:rsidP="00B82BF7">
      <w:pPr>
        <w:spacing w:after="45"/>
        <w:rPr>
          <w:lang w:eastAsia="fr-FR"/>
        </w:rPr>
      </w:pPr>
      <w:r w:rsidRPr="003577E0">
        <w:rPr>
          <w:lang w:eastAsia="fr-FR"/>
        </w:rPr>
        <w:t>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Cap’Com va développer pour accompagner les communicants pendant toute cette période.</w:t>
      </w:r>
    </w:p>
    <w:p w:rsidR="003577E0" w:rsidRPr="003577E0" w:rsidRDefault="003577E0" w:rsidP="00B82BF7">
      <w:pPr>
        <w:spacing w:after="45"/>
        <w:rPr>
          <w:lang w:eastAsia="fr-FR"/>
        </w:rPr>
      </w:pPr>
      <w:r w:rsidRPr="003577E0">
        <w:rPr>
          <w:lang w:eastAsia="fr-FR"/>
        </w:rPr>
        <w:t>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Cap’Com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53" w:tgtFrame="_blank" w:history="1">
        <w:r w:rsidRPr="003577E0">
          <w:rPr>
            <w:color w:val="0000FF"/>
            <w:u w:val="single"/>
            <w:lang w:eastAsia="fr-FR"/>
          </w:rPr>
          <w:t>Forum Cap’Com</w:t>
        </w:r>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Cap’Com Plus –le bouquet de services quotidiens pour le communicant public – vont permettre à chacun de prendre en compte les risques et de continuer au mieux sa communication institutionnelle.</w:t>
      </w:r>
    </w:p>
    <w:p w:rsidR="003577E0" w:rsidRPr="003577E0" w:rsidRDefault="003577E0" w:rsidP="00B82BF7">
      <w:pPr>
        <w:spacing w:after="45"/>
        <w:rPr>
          <w:lang w:eastAsia="fr-FR"/>
        </w:rPr>
      </w:pPr>
      <w:r w:rsidRPr="003577E0">
        <w:rPr>
          <w:b/>
          <w:bCs/>
          <w:i/>
          <w:iCs/>
          <w:lang w:eastAsia="fr-FR"/>
        </w:rPr>
        <w:t>L’applicabilité de l’article L. 52-8 du Code électoral à la communication institutionnelle.</w:t>
      </w:r>
    </w:p>
    <w:p w:rsidR="003577E0" w:rsidRPr="003577E0" w:rsidRDefault="003577E0" w:rsidP="00B82BF7">
      <w:pPr>
        <w:spacing w:after="45"/>
        <w:rPr>
          <w:lang w:eastAsia="fr-FR"/>
        </w:rPr>
      </w:pPr>
      <w:r w:rsidRPr="003577E0">
        <w:rPr>
          <w:lang w:eastAsia="fr-FR"/>
        </w:rPr>
        <w:t>L’article L.52-8 du Code électoral précise que :</w:t>
      </w:r>
    </w:p>
    <w:p w:rsidR="003577E0" w:rsidRPr="003577E0" w:rsidRDefault="003577E0" w:rsidP="00B82BF7">
      <w:pPr>
        <w:spacing w:after="45"/>
        <w:rPr>
          <w:lang w:eastAsia="fr-FR"/>
        </w:rPr>
      </w:pPr>
      <w:r w:rsidRPr="003577E0">
        <w:rPr>
          <w:lang w:eastAsia="fr-FR"/>
        </w:rPr>
        <w:t xml:space="preserve">« </w:t>
      </w:r>
      <w:r w:rsidRPr="003577E0">
        <w:rPr>
          <w:i/>
          <w:iCs/>
          <w:lang w:eastAsia="fr-FR"/>
        </w:rPr>
        <w:t>Les personnes morales, à l’exception des partis ou groupements politiques, ne peuvent participer au financement de la campagne électorale d’un candidat, ni en lui en consentant des dons sous quelque forme que ce soit, ni en lui fournissant des biens, services ou autres avantages directs ou indirects à des prix inférieurs à ceux qui sont habituellement pratiqués. </w:t>
      </w:r>
      <w:r w:rsidRPr="003577E0">
        <w:rPr>
          <w:lang w:eastAsia="fr-FR"/>
        </w:rPr>
        <w:t>»</w:t>
      </w:r>
    </w:p>
    <w:p w:rsidR="003577E0" w:rsidRPr="003577E0" w:rsidRDefault="003577E0" w:rsidP="00B82BF7">
      <w:pPr>
        <w:spacing w:after="45"/>
        <w:rPr>
          <w:lang w:eastAsia="fr-FR"/>
        </w:rPr>
      </w:pPr>
      <w:r w:rsidRPr="003577E0">
        <w:rPr>
          <w:lang w:eastAsia="fr-FR"/>
        </w:rPr>
        <w:t>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mixte,…).</w:t>
      </w:r>
    </w:p>
    <w:p w:rsidR="003577E0" w:rsidRPr="003577E0" w:rsidRDefault="003577E0" w:rsidP="00B82BF7">
      <w:pPr>
        <w:spacing w:after="45"/>
        <w:rPr>
          <w:lang w:eastAsia="fr-FR"/>
        </w:rPr>
      </w:pPr>
      <w:r w:rsidRPr="003577E0">
        <w:rPr>
          <w:lang w:eastAsia="fr-FR"/>
        </w:rPr>
        <w:lastRenderedPageBreak/>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3577E0" w:rsidRPr="003577E0" w:rsidRDefault="003577E0" w:rsidP="00B82BF7">
      <w:pPr>
        <w:spacing w:after="45"/>
        <w:rPr>
          <w:lang w:eastAsia="fr-FR"/>
        </w:rPr>
      </w:pPr>
      <w:r w:rsidRPr="003577E0">
        <w:rPr>
          <w:b/>
          <w:bCs/>
          <w:i/>
          <w:iCs/>
          <w:lang w:eastAsia="fr-FR"/>
        </w:rPr>
        <w:t>L’interdiction des campagnes de promotion publicitaire des réalisations ou de la gestion d’une collectivité.</w:t>
      </w:r>
    </w:p>
    <w:p w:rsidR="003577E0" w:rsidRPr="003577E0" w:rsidRDefault="003577E0" w:rsidP="00B82BF7">
      <w:pPr>
        <w:spacing w:after="45"/>
        <w:rPr>
          <w:lang w:eastAsia="fr-FR"/>
        </w:rPr>
      </w:pPr>
      <w:r w:rsidRPr="003577E0">
        <w:rPr>
          <w:lang w:eastAsia="fr-FR"/>
        </w:rPr>
        <w:t>L’article L. 52-1 alinéa 1</w:t>
      </w:r>
      <w:r w:rsidRPr="003577E0">
        <w:rPr>
          <w:vertAlign w:val="superscript"/>
          <w:lang w:eastAsia="fr-FR"/>
        </w:rPr>
        <w:t>er</w:t>
      </w:r>
      <w:r w:rsidRPr="003577E0">
        <w:rPr>
          <w:lang w:eastAsia="fr-FR"/>
        </w:rPr>
        <w:t>  du Code électoral précise :</w:t>
      </w:r>
    </w:p>
    <w:p w:rsidR="003577E0" w:rsidRPr="003577E0" w:rsidRDefault="003577E0" w:rsidP="00B82BF7">
      <w:pPr>
        <w:spacing w:after="45"/>
        <w:rPr>
          <w:lang w:eastAsia="fr-FR"/>
        </w:rPr>
      </w:pPr>
      <w:r w:rsidRPr="003577E0">
        <w:rPr>
          <w:lang w:eastAsia="fr-FR"/>
        </w:rPr>
        <w:t xml:space="preserve">«  </w:t>
      </w:r>
      <w:r w:rsidRPr="003577E0">
        <w:rPr>
          <w:i/>
          <w:iCs/>
          <w:lang w:eastAsia="fr-FR"/>
        </w:rPr>
        <w:t xml:space="preserve">Pendant les trois mois précédant le premier jour du mois d’une élection et jusqu’à la date du tour du scrutin où celle ci est acquise, l’utilisation à des fins de propagande électorale de tout procédé de </w:t>
      </w:r>
      <w:r w:rsidRPr="003577E0">
        <w:rPr>
          <w:b/>
          <w:bCs/>
          <w:i/>
          <w:iCs/>
          <w:lang w:eastAsia="fr-FR"/>
        </w:rPr>
        <w:t>publicité commerciale par la voie de presse ou par tout moyen de communication audiovisuelle est interdite</w:t>
      </w:r>
      <w:r w:rsidRPr="003577E0">
        <w:rPr>
          <w:i/>
          <w:iCs/>
          <w:u w:val="single"/>
          <w:lang w:eastAsia="fr-FR"/>
        </w:rPr>
        <w:t>.</w:t>
      </w:r>
    </w:p>
    <w:p w:rsidR="003577E0" w:rsidRPr="003577E0" w:rsidRDefault="003577E0" w:rsidP="00B82BF7">
      <w:pPr>
        <w:spacing w:after="45"/>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3577E0" w:rsidRPr="003577E0" w:rsidRDefault="003577E0" w:rsidP="00B82BF7">
      <w:pPr>
        <w:spacing w:after="45"/>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3577E0" w:rsidRPr="003577E0" w:rsidRDefault="003577E0" w:rsidP="00B82BF7">
      <w:pPr>
        <w:spacing w:after="45"/>
        <w:ind w:left="567"/>
        <w:rPr>
          <w:lang w:eastAsia="fr-FR"/>
        </w:rPr>
      </w:pPr>
      <w:r w:rsidRPr="003577E0">
        <w:rPr>
          <w:b/>
          <w:bCs/>
          <w:i/>
          <w:iCs/>
          <w:lang w:eastAsia="fr-FR"/>
        </w:rPr>
        <w:t>(CE, 5 juin 1996, Cne de Morhange, req. n° 173642)</w:t>
      </w:r>
    </w:p>
    <w:p w:rsidR="003577E0" w:rsidRPr="003577E0" w:rsidRDefault="003577E0" w:rsidP="00B82BF7">
      <w:pPr>
        <w:spacing w:after="45"/>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3577E0" w:rsidRPr="003577E0" w:rsidRDefault="003577E0" w:rsidP="00B82BF7">
      <w:pPr>
        <w:spacing w:after="45"/>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3577E0" w:rsidRPr="003577E0" w:rsidRDefault="003577E0" w:rsidP="00B82BF7">
      <w:pPr>
        <w:spacing w:after="45"/>
        <w:rPr>
          <w:lang w:eastAsia="fr-FR"/>
        </w:rPr>
      </w:pPr>
      <w:r w:rsidRPr="003577E0">
        <w:rPr>
          <w:b/>
          <w:bCs/>
          <w:i/>
          <w:iCs/>
          <w:lang w:eastAsia="fr-FR"/>
        </w:rPr>
        <w:t xml:space="preserve"> La définition d’une campagne de promotion publicitaire d’une collectivité intéressée par le scrutin. </w:t>
      </w:r>
    </w:p>
    <w:p w:rsidR="003577E0" w:rsidRPr="003577E0" w:rsidRDefault="003577E0" w:rsidP="00B82BF7">
      <w:pPr>
        <w:spacing w:after="45"/>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3577E0" w:rsidRPr="003577E0" w:rsidRDefault="003577E0" w:rsidP="00B82BF7">
      <w:pPr>
        <w:spacing w:after="45"/>
        <w:ind w:left="567"/>
        <w:rPr>
          <w:lang w:eastAsia="fr-FR"/>
        </w:rPr>
      </w:pPr>
      <w:r w:rsidRPr="003577E0">
        <w:rPr>
          <w:b/>
          <w:bCs/>
          <w:i/>
          <w:iCs/>
          <w:lang w:eastAsia="fr-FR"/>
        </w:rPr>
        <w:t>(Rép. min. n° 14137, JO Sénat Q du 18/04/1991, p. 817).</w:t>
      </w:r>
    </w:p>
    <w:p w:rsidR="003577E0" w:rsidRPr="003577E0" w:rsidRDefault="003577E0" w:rsidP="00B82BF7">
      <w:pPr>
        <w:spacing w:after="45"/>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3577E0" w:rsidRPr="003577E0" w:rsidRDefault="003577E0" w:rsidP="00B82BF7">
      <w:pPr>
        <w:numPr>
          <w:ilvl w:val="0"/>
          <w:numId w:val="1"/>
        </w:numPr>
        <w:spacing w:after="45"/>
        <w:rPr>
          <w:lang w:eastAsia="fr-FR"/>
        </w:rPr>
      </w:pPr>
      <w:r w:rsidRPr="003577E0">
        <w:rPr>
          <w:lang w:eastAsia="fr-FR"/>
        </w:rPr>
        <w:t xml:space="preserve">elle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3577E0" w:rsidRPr="003577E0" w:rsidRDefault="003577E0" w:rsidP="00B82BF7">
      <w:pPr>
        <w:numPr>
          <w:ilvl w:val="0"/>
          <w:numId w:val="1"/>
        </w:numPr>
        <w:spacing w:after="45"/>
        <w:rPr>
          <w:lang w:eastAsia="fr-FR"/>
        </w:rPr>
      </w:pPr>
      <w:r w:rsidRPr="003577E0">
        <w:rPr>
          <w:lang w:eastAsia="fr-FR"/>
        </w:rPr>
        <w:t xml:space="preserve">elle dresse un bilan avantageux de l’action menée par la municipalité </w:t>
      </w:r>
      <w:r w:rsidRPr="003577E0">
        <w:rPr>
          <w:b/>
          <w:bCs/>
          <w:i/>
          <w:iCs/>
          <w:lang w:eastAsia="fr-FR"/>
        </w:rPr>
        <w:t>(CE, 5 juin 1996, Elections municipales de Morhange : Rec. CE, p. 196 – CE, 21 févr. 1997, Mersch, Elections municipales de Longuyon, req. n° 171993)</w:t>
      </w:r>
      <w:r w:rsidRPr="003577E0">
        <w:rPr>
          <w:lang w:eastAsia="fr-FR"/>
        </w:rPr>
        <w:t> ;</w:t>
      </w:r>
    </w:p>
    <w:p w:rsidR="003577E0" w:rsidRPr="003577E0" w:rsidRDefault="003577E0" w:rsidP="00B82BF7">
      <w:pPr>
        <w:numPr>
          <w:ilvl w:val="0"/>
          <w:numId w:val="1"/>
        </w:numPr>
        <w:spacing w:after="45"/>
        <w:rPr>
          <w:lang w:eastAsia="fr-FR"/>
        </w:rPr>
      </w:pPr>
      <w:r w:rsidRPr="003577E0">
        <w:rPr>
          <w:lang w:eastAsia="fr-FR"/>
        </w:rPr>
        <w:t xml:space="preserve">elle présente les réalisations et la gestion de l’équipe sortante sous un angle particulièrement favorable </w:t>
      </w:r>
      <w:r w:rsidRPr="003577E0">
        <w:rPr>
          <w:b/>
          <w:bCs/>
          <w:i/>
          <w:iCs/>
          <w:lang w:eastAsia="fr-FR"/>
        </w:rPr>
        <w:t>(CE Ass., 18 déc. 1996, Elections dans le 16e arrondissement des membres du Conseil de Paris et du Conseil d’arrondissement : Rec. CE, p. 501).</w:t>
      </w:r>
    </w:p>
    <w:p w:rsidR="003577E0" w:rsidRPr="003577E0" w:rsidRDefault="003577E0" w:rsidP="00B82BF7">
      <w:pPr>
        <w:spacing w:after="45"/>
        <w:rPr>
          <w:lang w:eastAsia="fr-FR"/>
        </w:rPr>
      </w:pPr>
      <w:r w:rsidRPr="003577E0">
        <w:rPr>
          <w:lang w:eastAsia="fr-FR"/>
        </w:rPr>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3577E0" w:rsidRPr="003577E0" w:rsidRDefault="003577E0" w:rsidP="00B82BF7">
      <w:pPr>
        <w:spacing w:after="45"/>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3577E0" w:rsidRPr="003577E0" w:rsidRDefault="003577E0" w:rsidP="00B82BF7">
      <w:pPr>
        <w:spacing w:after="45"/>
        <w:rPr>
          <w:lang w:eastAsia="fr-FR"/>
        </w:rPr>
      </w:pPr>
      <w:r w:rsidRPr="003577E0">
        <w:rPr>
          <w:lang w:eastAsia="fr-FR"/>
        </w:rPr>
        <w:lastRenderedPageBreak/>
        <w:t>En période électorale, il est tout à fait possible d’informer sur les réalisations et la gestion de la collectivité, dans le cadre d’une campagne d’information (</w:t>
      </w:r>
      <w:r w:rsidRPr="003577E0">
        <w:rPr>
          <w:b/>
          <w:bCs/>
          <w:lang w:eastAsia="fr-FR"/>
        </w:rPr>
        <w:t>CE, 9 oct. 1996, Elections municipales de Cherbourg, req. n° 176893, 176795 et 176824 - CE, 21 déc. 2001, Elections municipales de Guerchy, req. n° 234977)</w:t>
      </w:r>
      <w:r w:rsidRPr="003577E0">
        <w:rPr>
          <w:lang w:eastAsia="fr-FR"/>
        </w:rPr>
        <w:t>.</w:t>
      </w:r>
    </w:p>
    <w:p w:rsidR="003577E0" w:rsidRPr="003577E0" w:rsidRDefault="003577E0" w:rsidP="00B82BF7">
      <w:pPr>
        <w:spacing w:after="45"/>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3577E0" w:rsidRPr="003577E0" w:rsidRDefault="003577E0" w:rsidP="00B82BF7">
      <w:pPr>
        <w:spacing w:after="45"/>
        <w:ind w:left="567"/>
        <w:rPr>
          <w:lang w:eastAsia="fr-FR"/>
        </w:rPr>
      </w:pPr>
      <w:r w:rsidRPr="003577E0">
        <w:rPr>
          <w:lang w:eastAsia="fr-FR"/>
        </w:rPr>
        <w:t>(</w:t>
      </w:r>
      <w:r w:rsidRPr="003577E0">
        <w:rPr>
          <w:b/>
          <w:bCs/>
          <w:i/>
          <w:iCs/>
          <w:lang w:eastAsia="fr-FR"/>
        </w:rPr>
        <w:t>Cons. const., 4 nov. 1993, n° 93-1265 et 93-1266, A.N., Rhône (2e circ.) : JO 14 nov. 1993, p. 15746).</w:t>
      </w:r>
    </w:p>
    <w:p w:rsidR="003577E0" w:rsidRPr="003577E0" w:rsidRDefault="003577E0" w:rsidP="00B82BF7">
      <w:pPr>
        <w:spacing w:after="45"/>
        <w:rPr>
          <w:lang w:eastAsia="fr-FR"/>
        </w:rPr>
      </w:pPr>
      <w:r w:rsidRPr="003577E0">
        <w:rPr>
          <w:lang w:eastAsia="fr-FR"/>
        </w:rPr>
        <w:t>La jurisprudence a également établi une distinction entre les campagnes de promotion publicitaire, d’une part, et les campagnes à vocation touristique, économique ou commerciale, d’autre part. Elle  admet la possibilité de réaliser ces dernières y compris durant la période visée par le second alinéa de l’article L. 52-1 du Code électoral</w:t>
      </w:r>
    </w:p>
    <w:p w:rsidR="003577E0" w:rsidRPr="003577E0" w:rsidRDefault="003577E0" w:rsidP="00B82BF7">
      <w:pPr>
        <w:spacing w:after="45"/>
        <w:ind w:left="567"/>
        <w:rPr>
          <w:lang w:eastAsia="fr-FR"/>
        </w:rPr>
      </w:pPr>
      <w:r w:rsidRPr="003577E0">
        <w:rPr>
          <w:b/>
          <w:bCs/>
          <w:i/>
          <w:iCs/>
          <w:lang w:eastAsia="fr-FR"/>
        </w:rPr>
        <w:t xml:space="preserve">(CE, 7 juill. 1993, Roustan, req. n° 142798 - CE, 6 mars 2002, Elections municipales de Bagnères-de-Luchon, req. n° 235950). </w:t>
      </w:r>
    </w:p>
    <w:p w:rsidR="003577E0" w:rsidRPr="003577E0" w:rsidRDefault="003577E0" w:rsidP="00B82BF7">
      <w:pPr>
        <w:spacing w:after="45"/>
        <w:rPr>
          <w:lang w:eastAsia="fr-FR"/>
        </w:rPr>
      </w:pPr>
      <w:r w:rsidRPr="003577E0">
        <w:rPr>
          <w:lang w:eastAsia="fr-FR"/>
        </w:rPr>
        <w:t>Le caractère touristique, économique ou commercial d’une campagne est toutefois directement lié aux destinataires de l’action de communication : ce sont la nature et l’objet de l’action qui la rendent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3577E0" w:rsidRPr="003577E0" w:rsidRDefault="003577E0" w:rsidP="00B82BF7">
      <w:pPr>
        <w:spacing w:after="45"/>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CE, 21 déc. 2001, Elections municipales de Chasse-sur-Rhône, req. n°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3577E0" w:rsidRPr="003577E0" w:rsidRDefault="003577E0" w:rsidP="00B82BF7">
      <w:pPr>
        <w:spacing w:after="45"/>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3577E0" w:rsidRPr="003577E0" w:rsidRDefault="003577E0" w:rsidP="00B82BF7">
      <w:pPr>
        <w:spacing w:after="45"/>
        <w:rPr>
          <w:lang w:eastAsia="fr-FR"/>
        </w:rPr>
      </w:pPr>
      <w:r w:rsidRPr="003577E0">
        <w:rPr>
          <w:b/>
          <w:bCs/>
          <w:i/>
          <w:iCs/>
          <w:lang w:eastAsia="fr-FR"/>
        </w:rPr>
        <w:t>La distinction entre communication institutionnelle et propagande électorale.</w:t>
      </w:r>
    </w:p>
    <w:p w:rsidR="003577E0" w:rsidRPr="003577E0" w:rsidRDefault="003577E0" w:rsidP="00B82BF7">
      <w:pPr>
        <w:spacing w:after="45"/>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3577E0" w:rsidRPr="003577E0" w:rsidRDefault="003577E0" w:rsidP="00B82BF7">
      <w:pPr>
        <w:spacing w:after="45"/>
        <w:rPr>
          <w:lang w:eastAsia="fr-FR"/>
        </w:rPr>
      </w:pPr>
      <w:r w:rsidRPr="003577E0">
        <w:rPr>
          <w:lang w:eastAsia="fr-FR"/>
        </w:rPr>
        <w:t>Dans chaque cas, le juge va donc s’interroger sur le caractère électoral ou non de l’action de communication. La jurisprudence a donc été amenée à dégager quatre principes qui constituent un faisceau d’indices de la régularité ou non des actions de communication : l’antériorité, la régularité, l’identité et la neutralité.</w:t>
      </w:r>
    </w:p>
    <w:p w:rsidR="003577E0" w:rsidRPr="003577E0" w:rsidRDefault="003577E0" w:rsidP="00B82BF7">
      <w:pPr>
        <w:numPr>
          <w:ilvl w:val="0"/>
          <w:numId w:val="2"/>
        </w:numPr>
        <w:spacing w:after="45"/>
        <w:ind w:left="1080"/>
        <w:rPr>
          <w:lang w:eastAsia="fr-FR"/>
        </w:rPr>
      </w:pPr>
      <w:r w:rsidRPr="003577E0">
        <w:rPr>
          <w:i/>
          <w:iCs/>
          <w:lang w:eastAsia="fr-FR"/>
        </w:rPr>
        <w:t>Le principe de l’antériorité.</w:t>
      </w:r>
    </w:p>
    <w:p w:rsidR="003577E0" w:rsidRPr="003577E0" w:rsidRDefault="003577E0" w:rsidP="00B82BF7">
      <w:pPr>
        <w:spacing w:after="45"/>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3577E0" w:rsidRPr="003577E0" w:rsidRDefault="003577E0" w:rsidP="00B82BF7">
      <w:pPr>
        <w:spacing w:after="45"/>
        <w:rPr>
          <w:lang w:eastAsia="fr-FR"/>
        </w:rPr>
      </w:pPr>
      <w:r w:rsidRPr="003577E0">
        <w:rPr>
          <w:lang w:eastAsia="fr-FR"/>
        </w:rPr>
        <w:lastRenderedPageBreak/>
        <w:t>Ce que le juge de l’élection apprécie dans un premier temps c’est le lien qui pourrait être établi entre l’élection et la création de cette nouvelle action de communication. Il sera amener à réintégrer dans le compte de campagne du candidat, tout ou partie de la dépense liée à cette création dans l’hypothèse ou rien ne justifie la mise en place d’une action de communication.</w:t>
      </w:r>
    </w:p>
    <w:p w:rsidR="003577E0" w:rsidRPr="003577E0" w:rsidRDefault="003577E0" w:rsidP="00B82BF7">
      <w:pPr>
        <w:numPr>
          <w:ilvl w:val="0"/>
          <w:numId w:val="3"/>
        </w:numPr>
        <w:spacing w:after="45"/>
        <w:ind w:left="1080"/>
        <w:rPr>
          <w:lang w:eastAsia="fr-FR"/>
        </w:rPr>
      </w:pPr>
      <w:r w:rsidRPr="003577E0">
        <w:rPr>
          <w:i/>
          <w:iCs/>
          <w:lang w:eastAsia="fr-FR"/>
        </w:rPr>
        <w:t>Le principe de la régularité.</w:t>
      </w:r>
    </w:p>
    <w:p w:rsidR="003577E0" w:rsidRPr="003577E0" w:rsidRDefault="003577E0" w:rsidP="00B82BF7">
      <w:pPr>
        <w:spacing w:after="45"/>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3577E0" w:rsidRPr="003577E0" w:rsidRDefault="003577E0" w:rsidP="00B82BF7">
      <w:pPr>
        <w:numPr>
          <w:ilvl w:val="0"/>
          <w:numId w:val="4"/>
        </w:numPr>
        <w:spacing w:after="45"/>
        <w:ind w:left="1080"/>
        <w:rPr>
          <w:lang w:eastAsia="fr-FR"/>
        </w:rPr>
      </w:pPr>
      <w:r w:rsidRPr="003577E0">
        <w:rPr>
          <w:i/>
          <w:iCs/>
          <w:lang w:eastAsia="fr-FR"/>
        </w:rPr>
        <w:t>Le principe de l’identité de la forme du support.</w:t>
      </w:r>
    </w:p>
    <w:p w:rsidR="003577E0" w:rsidRPr="003577E0" w:rsidRDefault="003577E0" w:rsidP="00B82BF7">
      <w:pPr>
        <w:spacing w:after="45"/>
        <w:rPr>
          <w:lang w:eastAsia="fr-FR"/>
        </w:rPr>
      </w:pPr>
      <w:r w:rsidRPr="003577E0">
        <w:rPr>
          <w:lang w:eastAsia="fr-FR"/>
        </w:rPr>
        <w:t>La forme d’un journal, comme tout autre support de communication utilisé par la collectivité, ne peut être modifiée avant les élections et ce notamment en terme de pagination, rubrique, charte graphique, diffusion,… sous peine de sanctions.</w:t>
      </w:r>
    </w:p>
    <w:p w:rsidR="003577E0" w:rsidRPr="003577E0" w:rsidRDefault="003577E0" w:rsidP="00B82BF7">
      <w:pPr>
        <w:spacing w:after="45"/>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3577E0" w:rsidRPr="003577E0" w:rsidRDefault="003577E0" w:rsidP="00B82BF7">
      <w:pPr>
        <w:numPr>
          <w:ilvl w:val="0"/>
          <w:numId w:val="5"/>
        </w:numPr>
        <w:spacing w:after="45"/>
        <w:ind w:left="1080"/>
        <w:rPr>
          <w:lang w:eastAsia="fr-FR"/>
        </w:rPr>
      </w:pPr>
      <w:r w:rsidRPr="003577E0">
        <w:rPr>
          <w:i/>
          <w:iCs/>
          <w:lang w:eastAsia="fr-FR"/>
        </w:rPr>
        <w:t>Le principe de l’objectivité et de la neutralité.</w:t>
      </w:r>
    </w:p>
    <w:p w:rsidR="003577E0" w:rsidRPr="003577E0" w:rsidRDefault="003577E0" w:rsidP="00B82BF7">
      <w:pPr>
        <w:spacing w:after="45"/>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3577E0" w:rsidRPr="003577E0" w:rsidRDefault="003577E0" w:rsidP="00B82BF7">
      <w:pPr>
        <w:spacing w:after="45"/>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3577E0" w:rsidRPr="003577E0" w:rsidRDefault="003577E0" w:rsidP="00B82BF7">
      <w:pPr>
        <w:numPr>
          <w:ilvl w:val="0"/>
          <w:numId w:val="6"/>
        </w:numPr>
        <w:spacing w:after="45"/>
        <w:ind w:left="1080"/>
        <w:rPr>
          <w:lang w:eastAsia="fr-FR"/>
        </w:rPr>
      </w:pPr>
      <w:r w:rsidRPr="003577E0">
        <w:rPr>
          <w:i/>
          <w:iCs/>
          <w:lang w:eastAsia="fr-FR"/>
        </w:rPr>
        <w:t> Le faisceau d’indices.</w:t>
      </w:r>
    </w:p>
    <w:p w:rsidR="003577E0" w:rsidRPr="003577E0" w:rsidRDefault="003577E0" w:rsidP="00B82BF7">
      <w:pPr>
        <w:spacing w:after="45"/>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3577E0" w:rsidRPr="003577E0" w:rsidRDefault="003577E0" w:rsidP="00B82BF7">
      <w:pPr>
        <w:spacing w:after="45"/>
        <w:rPr>
          <w:lang w:eastAsia="fr-FR"/>
        </w:rPr>
      </w:pPr>
      <w:r w:rsidRPr="003577E0">
        <w:rPr>
          <w:lang w:eastAsia="fr-FR"/>
        </w:rPr>
        <w:t xml:space="preserve">Le juge de l’élection procédera à une appréciation </w:t>
      </w:r>
      <w:r w:rsidRPr="003577E0">
        <w:rPr>
          <w:i/>
          <w:iCs/>
          <w:lang w:eastAsia="fr-FR"/>
        </w:rPr>
        <w:t>in concreto</w:t>
      </w:r>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3577E0" w:rsidRPr="003577E0" w:rsidRDefault="003577E0" w:rsidP="00B82BF7">
      <w:pPr>
        <w:spacing w:after="45"/>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3577E0" w:rsidRPr="003577E0" w:rsidRDefault="003577E0" w:rsidP="00B82BF7">
      <w:pPr>
        <w:spacing w:after="45"/>
        <w:rPr>
          <w:lang w:eastAsia="fr-FR"/>
        </w:rPr>
      </w:pPr>
      <w:r w:rsidRPr="003577E0">
        <w:rPr>
          <w:lang w:eastAsia="fr-FR"/>
        </w:rPr>
        <w:t>Cette méthode dite du faisceau d’indice a conduit le Conseil d’Etat à annuler les élections municipales de Briançon des 9 et 16 mars 2008.</w:t>
      </w:r>
    </w:p>
    <w:p w:rsidR="003577E0" w:rsidRPr="003577E0" w:rsidRDefault="003577E0" w:rsidP="00B82BF7">
      <w:pPr>
        <w:spacing w:after="45"/>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sectPr w:rsidR="003577E0" w:rsidRPr="003577E0" w:rsidSect="002C3BB2">
      <w:footerReference w:type="default" r:id="rId54"/>
      <w:pgSz w:w="11906" w:h="16838"/>
      <w:pgMar w:top="709" w:right="849" w:bottom="851"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B2" w:rsidRDefault="002C3BB2" w:rsidP="0053282D">
      <w:r>
        <w:separator/>
      </w:r>
    </w:p>
  </w:endnote>
  <w:endnote w:type="continuationSeparator" w:id="0">
    <w:p w:rsidR="002C3BB2" w:rsidRDefault="002C3BB2" w:rsidP="0053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83363"/>
      <w:docPartObj>
        <w:docPartGallery w:val="Page Numbers (Bottom of Page)"/>
        <w:docPartUnique/>
      </w:docPartObj>
    </w:sdtPr>
    <w:sdtContent>
      <w:p w:rsidR="002C3BB2" w:rsidRDefault="002C3BB2">
        <w:pPr>
          <w:pStyle w:val="Pieddepage"/>
          <w:jc w:val="center"/>
        </w:pPr>
        <w:r>
          <w:fldChar w:fldCharType="begin"/>
        </w:r>
        <w:r>
          <w:instrText>PAGE   \* MERGEFORMAT</w:instrText>
        </w:r>
        <w:r>
          <w:fldChar w:fldCharType="separate"/>
        </w:r>
        <w:r w:rsidR="0021766F">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B2" w:rsidRDefault="002C3BB2" w:rsidP="0053282D">
      <w:r>
        <w:separator/>
      </w:r>
    </w:p>
  </w:footnote>
  <w:footnote w:type="continuationSeparator" w:id="0">
    <w:p w:rsidR="002C3BB2" w:rsidRDefault="002C3BB2" w:rsidP="0053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39"/>
    <w:multiLevelType w:val="multilevel"/>
    <w:tmpl w:val="8BC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74694"/>
    <w:multiLevelType w:val="multilevel"/>
    <w:tmpl w:val="9E7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960E6"/>
    <w:multiLevelType w:val="multilevel"/>
    <w:tmpl w:val="529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7316A"/>
    <w:multiLevelType w:val="multilevel"/>
    <w:tmpl w:val="ECE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F0199"/>
    <w:multiLevelType w:val="multilevel"/>
    <w:tmpl w:val="011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D7171"/>
    <w:multiLevelType w:val="multilevel"/>
    <w:tmpl w:val="8DC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6"/>
  </w:num>
  <w:num w:numId="4">
    <w:abstractNumId w:val="6"/>
  </w:num>
  <w:num w:numId="5">
    <w:abstractNumId w:val="3"/>
  </w:num>
  <w:num w:numId="6">
    <w:abstractNumId w:val="7"/>
  </w:num>
  <w:num w:numId="7">
    <w:abstractNumId w:val="17"/>
  </w:num>
  <w:num w:numId="8">
    <w:abstractNumId w:val="18"/>
  </w:num>
  <w:num w:numId="9">
    <w:abstractNumId w:val="15"/>
  </w:num>
  <w:num w:numId="10">
    <w:abstractNumId w:val="10"/>
  </w:num>
  <w:num w:numId="11">
    <w:abstractNumId w:val="13"/>
  </w:num>
  <w:num w:numId="12">
    <w:abstractNumId w:val="20"/>
  </w:num>
  <w:num w:numId="13">
    <w:abstractNumId w:val="5"/>
  </w:num>
  <w:num w:numId="14">
    <w:abstractNumId w:val="19"/>
  </w:num>
  <w:num w:numId="15">
    <w:abstractNumId w:val="8"/>
  </w:num>
  <w:num w:numId="16">
    <w:abstractNumId w:val="11"/>
  </w:num>
  <w:num w:numId="17">
    <w:abstractNumId w:val="2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0"/>
    <w:rsid w:val="000D1320"/>
    <w:rsid w:val="000E657E"/>
    <w:rsid w:val="0010420B"/>
    <w:rsid w:val="00175D9F"/>
    <w:rsid w:val="001E73B5"/>
    <w:rsid w:val="0021766F"/>
    <w:rsid w:val="002C3BB2"/>
    <w:rsid w:val="00343840"/>
    <w:rsid w:val="003577E0"/>
    <w:rsid w:val="00396A56"/>
    <w:rsid w:val="00503619"/>
    <w:rsid w:val="0053282D"/>
    <w:rsid w:val="00596FB9"/>
    <w:rsid w:val="00A53BE3"/>
    <w:rsid w:val="00A82F16"/>
    <w:rsid w:val="00AB77EA"/>
    <w:rsid w:val="00AF3BFA"/>
    <w:rsid w:val="00B82BF7"/>
    <w:rsid w:val="00B90C01"/>
    <w:rsid w:val="00D77ED8"/>
    <w:rsid w:val="00EA51AA"/>
    <w:rsid w:val="00FC4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016B8"/>
  <w15:docId w15:val="{23C80C78-30A3-4253-B1C9-98BDD92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0420B"/>
    <w:pPr>
      <w:keepNext/>
      <w:autoSpaceDE w:val="0"/>
      <w:autoSpaceDN w:val="0"/>
      <w:adjustRightInd w:val="0"/>
      <w:spacing w:before="240" w:after="60"/>
      <w:jc w:val="both"/>
      <w:outlineLvl w:val="3"/>
    </w:pPr>
    <w:rPr>
      <w:rFonts w:ascii="Calibri" w:hAnsi="Calibri"/>
      <w:b/>
      <w:bCs/>
      <w:color w:val="000000"/>
      <w:sz w:val="28"/>
      <w:szCs w:val="28"/>
      <w:lang w:eastAsia="fr-FR"/>
    </w:rPr>
  </w:style>
  <w:style w:type="paragraph" w:styleId="Titre5">
    <w:name w:val="heading 5"/>
    <w:basedOn w:val="Normal"/>
    <w:next w:val="Normal"/>
    <w:link w:val="Titre5Car"/>
    <w:unhideWhenUsed/>
    <w:qFormat/>
    <w:rsid w:val="002C3BB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3577E0"/>
    <w:rPr>
      <w:b/>
      <w:bCs/>
      <w:sz w:val="36"/>
      <w:szCs w:val="36"/>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rsid w:val="0010420B"/>
    <w:rPr>
      <w:rFonts w:ascii="Calibri" w:hAnsi="Calibri"/>
      <w:b/>
      <w:bCs/>
      <w:color w:val="000000"/>
      <w:sz w:val="28"/>
      <w:szCs w:val="28"/>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uiPriority w:val="99"/>
    <w:rsid w:val="003577E0"/>
    <w:rPr>
      <w:rFonts w:ascii="Tahoma" w:hAnsi="Tahoma" w:cs="Tahoma"/>
      <w:sz w:val="16"/>
      <w:szCs w:val="16"/>
    </w:rPr>
  </w:style>
  <w:style w:type="character" w:customStyle="1" w:styleId="TextedebullesCar">
    <w:name w:val="Texte de bulles Car"/>
    <w:basedOn w:val="Policepardfaut"/>
    <w:link w:val="Textedebulles"/>
    <w:uiPriority w:val="99"/>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surtitre">
    <w:name w:val="surtitre"/>
    <w:basedOn w:val="Policepardfaut"/>
    <w:rsid w:val="000D1320"/>
  </w:style>
  <w:style w:type="character" w:customStyle="1" w:styleId="Date2">
    <w:name w:val="Date2"/>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 w:type="character" w:styleId="Lienhypertextesuivivisit">
    <w:name w:val="FollowedHyperlink"/>
    <w:basedOn w:val="Policepardfaut"/>
    <w:rsid w:val="00B82BF7"/>
    <w:rPr>
      <w:color w:val="800080" w:themeColor="followedHyperlink"/>
      <w:u w:val="single"/>
    </w:rPr>
  </w:style>
  <w:style w:type="paragraph" w:styleId="En-ttedetabledesmatires">
    <w:name w:val="TOC Heading"/>
    <w:basedOn w:val="Titre1"/>
    <w:next w:val="Normal"/>
    <w:uiPriority w:val="39"/>
    <w:semiHidden/>
    <w:unhideWhenUsed/>
    <w:qFormat/>
    <w:rsid w:val="0053282D"/>
    <w:pPr>
      <w:spacing w:line="276" w:lineRule="auto"/>
      <w:outlineLvl w:val="9"/>
    </w:pPr>
    <w:rPr>
      <w:lang w:eastAsia="fr-FR"/>
    </w:rPr>
  </w:style>
  <w:style w:type="paragraph" w:styleId="TM1">
    <w:name w:val="toc 1"/>
    <w:basedOn w:val="Normal"/>
    <w:next w:val="Normal"/>
    <w:autoRedefine/>
    <w:uiPriority w:val="39"/>
    <w:rsid w:val="0053282D"/>
    <w:pPr>
      <w:spacing w:after="100"/>
    </w:pPr>
  </w:style>
  <w:style w:type="paragraph" w:styleId="TM2">
    <w:name w:val="toc 2"/>
    <w:basedOn w:val="Normal"/>
    <w:next w:val="Normal"/>
    <w:autoRedefine/>
    <w:uiPriority w:val="39"/>
    <w:rsid w:val="0053282D"/>
    <w:pPr>
      <w:spacing w:after="100"/>
      <w:ind w:left="240"/>
    </w:pPr>
  </w:style>
  <w:style w:type="paragraph" w:styleId="TM3">
    <w:name w:val="toc 3"/>
    <w:basedOn w:val="Normal"/>
    <w:next w:val="Normal"/>
    <w:autoRedefine/>
    <w:uiPriority w:val="39"/>
    <w:rsid w:val="0053282D"/>
    <w:pPr>
      <w:spacing w:after="100"/>
      <w:ind w:left="480"/>
    </w:pPr>
  </w:style>
  <w:style w:type="paragraph" w:styleId="Pieddepage">
    <w:name w:val="footer"/>
    <w:basedOn w:val="Normal"/>
    <w:link w:val="PieddepageCar"/>
    <w:uiPriority w:val="99"/>
    <w:rsid w:val="0053282D"/>
    <w:pPr>
      <w:tabs>
        <w:tab w:val="center" w:pos="4536"/>
        <w:tab w:val="right" w:pos="9072"/>
      </w:tabs>
    </w:pPr>
  </w:style>
  <w:style w:type="character" w:customStyle="1" w:styleId="PieddepageCar">
    <w:name w:val="Pied de page Car"/>
    <w:basedOn w:val="Policepardfaut"/>
    <w:link w:val="Pieddepage"/>
    <w:uiPriority w:val="99"/>
    <w:rsid w:val="0053282D"/>
    <w:rPr>
      <w:sz w:val="24"/>
      <w:szCs w:val="24"/>
      <w:lang w:eastAsia="en-US"/>
    </w:rPr>
  </w:style>
  <w:style w:type="character" w:customStyle="1" w:styleId="mw-headline">
    <w:name w:val="mw-headline"/>
    <w:basedOn w:val="Policepardfaut"/>
    <w:rsid w:val="0010420B"/>
  </w:style>
  <w:style w:type="character" w:customStyle="1" w:styleId="editsection">
    <w:name w:val="editsection"/>
    <w:basedOn w:val="Policepardfaut"/>
    <w:rsid w:val="0010420B"/>
  </w:style>
  <w:style w:type="character" w:styleId="CitationHTML">
    <w:name w:val="HTML Cite"/>
    <w:rsid w:val="0010420B"/>
    <w:rPr>
      <w:i/>
      <w:iCs/>
    </w:rPr>
  </w:style>
  <w:style w:type="character" w:customStyle="1" w:styleId="a-color-state">
    <w:name w:val="a-color-state"/>
    <w:rsid w:val="0010420B"/>
  </w:style>
  <w:style w:type="character" w:customStyle="1" w:styleId="a-declarative">
    <w:name w:val="a-declarative"/>
    <w:rsid w:val="0010420B"/>
  </w:style>
  <w:style w:type="character" w:customStyle="1" w:styleId="a-size-base">
    <w:name w:val="a-size-base"/>
    <w:rsid w:val="0010420B"/>
  </w:style>
  <w:style w:type="character" w:customStyle="1" w:styleId="s-layout-toggle-picker">
    <w:name w:val="s-layout-toggle-picker"/>
    <w:rsid w:val="0010420B"/>
  </w:style>
  <w:style w:type="character" w:customStyle="1" w:styleId="a-size-small">
    <w:name w:val="a-size-small"/>
    <w:rsid w:val="0010420B"/>
  </w:style>
  <w:style w:type="character" w:customStyle="1" w:styleId="a-icon-alt">
    <w:name w:val="a-icon-alt"/>
    <w:rsid w:val="0010420B"/>
  </w:style>
  <w:style w:type="character" w:customStyle="1" w:styleId="a-color-success">
    <w:name w:val="a-color-success"/>
    <w:rsid w:val="0010420B"/>
  </w:style>
  <w:style w:type="character" w:customStyle="1" w:styleId="a-color-secondary">
    <w:name w:val="a-color-secondary"/>
    <w:rsid w:val="0010420B"/>
  </w:style>
  <w:style w:type="character" w:customStyle="1" w:styleId="a-text-bold">
    <w:name w:val="a-text-bold"/>
    <w:rsid w:val="0010420B"/>
  </w:style>
  <w:style w:type="character" w:customStyle="1" w:styleId="currentpage">
    <w:name w:val="current_page"/>
    <w:rsid w:val="0010420B"/>
  </w:style>
  <w:style w:type="paragraph" w:styleId="Titre">
    <w:name w:val="Title"/>
    <w:basedOn w:val="Normal"/>
    <w:next w:val="Normal"/>
    <w:link w:val="TitreCar"/>
    <w:qFormat/>
    <w:rsid w:val="0010420B"/>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10420B"/>
    <w:rPr>
      <w:rFonts w:ascii="Cambria" w:hAnsi="Cambria"/>
      <w:color w:val="17365D"/>
      <w:spacing w:val="5"/>
      <w:kern w:val="28"/>
      <w:sz w:val="52"/>
      <w:szCs w:val="52"/>
    </w:rPr>
  </w:style>
  <w:style w:type="paragraph" w:styleId="Paragraphedeliste">
    <w:name w:val="List Paragraph"/>
    <w:basedOn w:val="Normal"/>
    <w:uiPriority w:val="34"/>
    <w:qFormat/>
    <w:rsid w:val="00EA51AA"/>
    <w:pPr>
      <w:ind w:left="720"/>
      <w:contextualSpacing/>
    </w:pPr>
  </w:style>
  <w:style w:type="character" w:customStyle="1" w:styleId="field">
    <w:name w:val="field"/>
    <w:basedOn w:val="Policepardfaut"/>
    <w:rsid w:val="00396A56"/>
  </w:style>
  <w:style w:type="character" w:customStyle="1" w:styleId="sr-only">
    <w:name w:val="sr-only"/>
    <w:basedOn w:val="Policepardfaut"/>
    <w:rsid w:val="00396A56"/>
  </w:style>
  <w:style w:type="character" w:customStyle="1" w:styleId="field--name-title">
    <w:name w:val="field--name-title"/>
    <w:basedOn w:val="Policepardfaut"/>
    <w:rsid w:val="00396A56"/>
  </w:style>
  <w:style w:type="character" w:customStyle="1" w:styleId="size">
    <w:name w:val="size"/>
    <w:basedOn w:val="Policepardfaut"/>
    <w:rsid w:val="002C3BB2"/>
  </w:style>
  <w:style w:type="character" w:customStyle="1" w:styleId="Titre5Car">
    <w:name w:val="Titre 5 Car"/>
    <w:basedOn w:val="Policepardfaut"/>
    <w:link w:val="Titre5"/>
    <w:rsid w:val="002C3BB2"/>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782">
      <w:bodyDiv w:val="1"/>
      <w:marLeft w:val="0"/>
      <w:marRight w:val="0"/>
      <w:marTop w:val="0"/>
      <w:marBottom w:val="0"/>
      <w:divBdr>
        <w:top w:val="none" w:sz="0" w:space="0" w:color="auto"/>
        <w:left w:val="none" w:sz="0" w:space="0" w:color="auto"/>
        <w:bottom w:val="none" w:sz="0" w:space="0" w:color="auto"/>
        <w:right w:val="none" w:sz="0" w:space="0" w:color="auto"/>
      </w:divBdr>
      <w:divsChild>
        <w:div w:id="1946497498">
          <w:marLeft w:val="0"/>
          <w:marRight w:val="0"/>
          <w:marTop w:val="0"/>
          <w:marBottom w:val="0"/>
          <w:divBdr>
            <w:top w:val="none" w:sz="0" w:space="0" w:color="auto"/>
            <w:left w:val="none" w:sz="0" w:space="0" w:color="auto"/>
            <w:bottom w:val="none" w:sz="0" w:space="0" w:color="auto"/>
            <w:right w:val="none" w:sz="0" w:space="0" w:color="auto"/>
          </w:divBdr>
          <w:divsChild>
            <w:div w:id="1679388893">
              <w:marLeft w:val="0"/>
              <w:marRight w:val="0"/>
              <w:marTop w:val="0"/>
              <w:marBottom w:val="0"/>
              <w:divBdr>
                <w:top w:val="none" w:sz="0" w:space="0" w:color="auto"/>
                <w:left w:val="none" w:sz="0" w:space="0" w:color="auto"/>
                <w:bottom w:val="none" w:sz="0" w:space="0" w:color="auto"/>
                <w:right w:val="none" w:sz="0" w:space="0" w:color="auto"/>
              </w:divBdr>
            </w:div>
          </w:divsChild>
        </w:div>
        <w:div w:id="465853934">
          <w:marLeft w:val="0"/>
          <w:marRight w:val="0"/>
          <w:marTop w:val="0"/>
          <w:marBottom w:val="0"/>
          <w:divBdr>
            <w:top w:val="none" w:sz="0" w:space="0" w:color="auto"/>
            <w:left w:val="none" w:sz="0" w:space="0" w:color="auto"/>
            <w:bottom w:val="none" w:sz="0" w:space="0" w:color="auto"/>
            <w:right w:val="none" w:sz="0" w:space="0" w:color="auto"/>
          </w:divBdr>
        </w:div>
      </w:divsChild>
    </w:div>
    <w:div w:id="106436039">
      <w:bodyDiv w:val="1"/>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23199157">
              <w:marLeft w:val="0"/>
              <w:marRight w:val="0"/>
              <w:marTop w:val="0"/>
              <w:marBottom w:val="0"/>
              <w:divBdr>
                <w:top w:val="none" w:sz="0" w:space="0" w:color="auto"/>
                <w:left w:val="none" w:sz="0" w:space="0" w:color="auto"/>
                <w:bottom w:val="none" w:sz="0" w:space="0" w:color="auto"/>
                <w:right w:val="none" w:sz="0" w:space="0" w:color="auto"/>
              </w:divBdr>
              <w:divsChild>
                <w:div w:id="1074819629">
                  <w:marLeft w:val="0"/>
                  <w:marRight w:val="0"/>
                  <w:marTop w:val="0"/>
                  <w:marBottom w:val="0"/>
                  <w:divBdr>
                    <w:top w:val="none" w:sz="0" w:space="0" w:color="auto"/>
                    <w:left w:val="none" w:sz="0" w:space="0" w:color="auto"/>
                    <w:bottom w:val="none" w:sz="0" w:space="0" w:color="auto"/>
                    <w:right w:val="none" w:sz="0" w:space="0" w:color="auto"/>
                  </w:divBdr>
                  <w:divsChild>
                    <w:div w:id="918757737">
                      <w:marLeft w:val="0"/>
                      <w:marRight w:val="0"/>
                      <w:marTop w:val="0"/>
                      <w:marBottom w:val="0"/>
                      <w:divBdr>
                        <w:top w:val="none" w:sz="0" w:space="0" w:color="auto"/>
                        <w:left w:val="none" w:sz="0" w:space="0" w:color="auto"/>
                        <w:bottom w:val="none" w:sz="0" w:space="0" w:color="auto"/>
                        <w:right w:val="none" w:sz="0" w:space="0" w:color="auto"/>
                      </w:divBdr>
                      <w:divsChild>
                        <w:div w:id="1777142049">
                          <w:marLeft w:val="0"/>
                          <w:marRight w:val="0"/>
                          <w:marTop w:val="0"/>
                          <w:marBottom w:val="0"/>
                          <w:divBdr>
                            <w:top w:val="none" w:sz="0" w:space="0" w:color="auto"/>
                            <w:left w:val="none" w:sz="0" w:space="0" w:color="auto"/>
                            <w:bottom w:val="none" w:sz="0" w:space="0" w:color="auto"/>
                            <w:right w:val="none" w:sz="0" w:space="0" w:color="auto"/>
                          </w:divBdr>
                          <w:divsChild>
                            <w:div w:id="1128744667">
                              <w:marLeft w:val="0"/>
                              <w:marRight w:val="0"/>
                              <w:marTop w:val="0"/>
                              <w:marBottom w:val="0"/>
                              <w:divBdr>
                                <w:top w:val="none" w:sz="0" w:space="0" w:color="auto"/>
                                <w:left w:val="none" w:sz="0" w:space="0" w:color="auto"/>
                                <w:bottom w:val="none" w:sz="0" w:space="0" w:color="auto"/>
                                <w:right w:val="none" w:sz="0" w:space="0" w:color="auto"/>
                              </w:divBdr>
                              <w:divsChild>
                                <w:div w:id="2129817426">
                                  <w:marLeft w:val="0"/>
                                  <w:marRight w:val="0"/>
                                  <w:marTop w:val="0"/>
                                  <w:marBottom w:val="0"/>
                                  <w:divBdr>
                                    <w:top w:val="none" w:sz="0" w:space="0" w:color="auto"/>
                                    <w:left w:val="none" w:sz="0" w:space="0" w:color="auto"/>
                                    <w:bottom w:val="none" w:sz="0" w:space="0" w:color="auto"/>
                                    <w:right w:val="none" w:sz="0" w:space="0" w:color="auto"/>
                                  </w:divBdr>
                                  <w:divsChild>
                                    <w:div w:id="578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079">
                              <w:marLeft w:val="0"/>
                              <w:marRight w:val="0"/>
                              <w:marTop w:val="0"/>
                              <w:marBottom w:val="0"/>
                              <w:divBdr>
                                <w:top w:val="none" w:sz="0" w:space="0" w:color="auto"/>
                                <w:left w:val="none" w:sz="0" w:space="0" w:color="auto"/>
                                <w:bottom w:val="none" w:sz="0" w:space="0" w:color="auto"/>
                                <w:right w:val="none" w:sz="0" w:space="0" w:color="auto"/>
                              </w:divBdr>
                              <w:divsChild>
                                <w:div w:id="642197610">
                                  <w:marLeft w:val="0"/>
                                  <w:marRight w:val="0"/>
                                  <w:marTop w:val="0"/>
                                  <w:marBottom w:val="0"/>
                                  <w:divBdr>
                                    <w:top w:val="none" w:sz="0" w:space="0" w:color="auto"/>
                                    <w:left w:val="none" w:sz="0" w:space="0" w:color="auto"/>
                                    <w:bottom w:val="none" w:sz="0" w:space="0" w:color="auto"/>
                                    <w:right w:val="none" w:sz="0" w:space="0" w:color="auto"/>
                                  </w:divBdr>
                                  <w:divsChild>
                                    <w:div w:id="1323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261">
                              <w:marLeft w:val="0"/>
                              <w:marRight w:val="0"/>
                              <w:marTop w:val="0"/>
                              <w:marBottom w:val="0"/>
                              <w:divBdr>
                                <w:top w:val="none" w:sz="0" w:space="0" w:color="auto"/>
                                <w:left w:val="none" w:sz="0" w:space="0" w:color="auto"/>
                                <w:bottom w:val="none" w:sz="0" w:space="0" w:color="auto"/>
                                <w:right w:val="none" w:sz="0" w:space="0" w:color="auto"/>
                              </w:divBdr>
                              <w:divsChild>
                                <w:div w:id="596598589">
                                  <w:marLeft w:val="0"/>
                                  <w:marRight w:val="0"/>
                                  <w:marTop w:val="0"/>
                                  <w:marBottom w:val="0"/>
                                  <w:divBdr>
                                    <w:top w:val="none" w:sz="0" w:space="0" w:color="auto"/>
                                    <w:left w:val="none" w:sz="0" w:space="0" w:color="auto"/>
                                    <w:bottom w:val="none" w:sz="0" w:space="0" w:color="auto"/>
                                    <w:right w:val="none" w:sz="0" w:space="0" w:color="auto"/>
                                  </w:divBdr>
                                  <w:divsChild>
                                    <w:div w:id="341202264">
                                      <w:marLeft w:val="0"/>
                                      <w:marRight w:val="0"/>
                                      <w:marTop w:val="0"/>
                                      <w:marBottom w:val="0"/>
                                      <w:divBdr>
                                        <w:top w:val="none" w:sz="0" w:space="0" w:color="auto"/>
                                        <w:left w:val="none" w:sz="0" w:space="0" w:color="auto"/>
                                        <w:bottom w:val="none" w:sz="0" w:space="0" w:color="auto"/>
                                        <w:right w:val="none" w:sz="0" w:space="0" w:color="auto"/>
                                      </w:divBdr>
                                      <w:divsChild>
                                        <w:div w:id="2146577601">
                                          <w:marLeft w:val="567"/>
                                          <w:marRight w:val="0"/>
                                          <w:marTop w:val="0"/>
                                          <w:marBottom w:val="0"/>
                                          <w:divBdr>
                                            <w:top w:val="none" w:sz="0" w:space="0" w:color="auto"/>
                                            <w:left w:val="none" w:sz="0" w:space="0" w:color="auto"/>
                                            <w:bottom w:val="none" w:sz="0" w:space="0" w:color="auto"/>
                                            <w:right w:val="none" w:sz="0" w:space="0" w:color="auto"/>
                                          </w:divBdr>
                                        </w:div>
                                        <w:div w:id="2098669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86010">
      <w:bodyDiv w:val="1"/>
      <w:marLeft w:val="0"/>
      <w:marRight w:val="0"/>
      <w:marTop w:val="0"/>
      <w:marBottom w:val="0"/>
      <w:divBdr>
        <w:top w:val="none" w:sz="0" w:space="0" w:color="auto"/>
        <w:left w:val="none" w:sz="0" w:space="0" w:color="auto"/>
        <w:bottom w:val="none" w:sz="0" w:space="0" w:color="auto"/>
        <w:right w:val="none" w:sz="0" w:space="0" w:color="auto"/>
      </w:divBdr>
      <w:divsChild>
        <w:div w:id="663976963">
          <w:marLeft w:val="0"/>
          <w:marRight w:val="0"/>
          <w:marTop w:val="0"/>
          <w:marBottom w:val="0"/>
          <w:divBdr>
            <w:top w:val="none" w:sz="0" w:space="0" w:color="auto"/>
            <w:left w:val="none" w:sz="0" w:space="0" w:color="auto"/>
            <w:bottom w:val="none" w:sz="0" w:space="0" w:color="auto"/>
            <w:right w:val="none" w:sz="0" w:space="0" w:color="auto"/>
          </w:divBdr>
        </w:div>
        <w:div w:id="653492064">
          <w:marLeft w:val="0"/>
          <w:marRight w:val="0"/>
          <w:marTop w:val="0"/>
          <w:marBottom w:val="0"/>
          <w:divBdr>
            <w:top w:val="none" w:sz="0" w:space="0" w:color="auto"/>
            <w:left w:val="none" w:sz="0" w:space="0" w:color="auto"/>
            <w:bottom w:val="none" w:sz="0" w:space="0" w:color="auto"/>
            <w:right w:val="none" w:sz="0" w:space="0" w:color="auto"/>
          </w:divBdr>
        </w:div>
        <w:div w:id="1175026203">
          <w:marLeft w:val="0"/>
          <w:marRight w:val="0"/>
          <w:marTop w:val="0"/>
          <w:marBottom w:val="0"/>
          <w:divBdr>
            <w:top w:val="none" w:sz="0" w:space="0" w:color="auto"/>
            <w:left w:val="none" w:sz="0" w:space="0" w:color="auto"/>
            <w:bottom w:val="none" w:sz="0" w:space="0" w:color="auto"/>
            <w:right w:val="none" w:sz="0" w:space="0" w:color="auto"/>
          </w:divBdr>
        </w:div>
        <w:div w:id="17196127">
          <w:marLeft w:val="0"/>
          <w:marRight w:val="0"/>
          <w:marTop w:val="0"/>
          <w:marBottom w:val="0"/>
          <w:divBdr>
            <w:top w:val="none" w:sz="0" w:space="0" w:color="auto"/>
            <w:left w:val="none" w:sz="0" w:space="0" w:color="auto"/>
            <w:bottom w:val="none" w:sz="0" w:space="0" w:color="auto"/>
            <w:right w:val="none" w:sz="0" w:space="0" w:color="auto"/>
          </w:divBdr>
        </w:div>
        <w:div w:id="1054500999">
          <w:marLeft w:val="0"/>
          <w:marRight w:val="0"/>
          <w:marTop w:val="0"/>
          <w:marBottom w:val="0"/>
          <w:divBdr>
            <w:top w:val="none" w:sz="0" w:space="0" w:color="auto"/>
            <w:left w:val="none" w:sz="0" w:space="0" w:color="auto"/>
            <w:bottom w:val="none" w:sz="0" w:space="0" w:color="auto"/>
            <w:right w:val="none" w:sz="0" w:space="0" w:color="auto"/>
          </w:divBdr>
          <w:divsChild>
            <w:div w:id="396321585">
              <w:marLeft w:val="0"/>
              <w:marRight w:val="0"/>
              <w:marTop w:val="0"/>
              <w:marBottom w:val="0"/>
              <w:divBdr>
                <w:top w:val="none" w:sz="0" w:space="0" w:color="auto"/>
                <w:left w:val="none" w:sz="0" w:space="0" w:color="auto"/>
                <w:bottom w:val="none" w:sz="0" w:space="0" w:color="auto"/>
                <w:right w:val="none" w:sz="0" w:space="0" w:color="auto"/>
              </w:divBdr>
              <w:divsChild>
                <w:div w:id="41055257">
                  <w:marLeft w:val="0"/>
                  <w:marRight w:val="0"/>
                  <w:marTop w:val="0"/>
                  <w:marBottom w:val="0"/>
                  <w:divBdr>
                    <w:top w:val="none" w:sz="0" w:space="0" w:color="auto"/>
                    <w:left w:val="none" w:sz="0" w:space="0" w:color="auto"/>
                    <w:bottom w:val="none" w:sz="0" w:space="0" w:color="auto"/>
                    <w:right w:val="none" w:sz="0" w:space="0" w:color="auto"/>
                  </w:divBdr>
                  <w:divsChild>
                    <w:div w:id="815729101">
                      <w:marLeft w:val="0"/>
                      <w:marRight w:val="0"/>
                      <w:marTop w:val="0"/>
                      <w:marBottom w:val="0"/>
                      <w:divBdr>
                        <w:top w:val="none" w:sz="0" w:space="0" w:color="auto"/>
                        <w:left w:val="none" w:sz="0" w:space="0" w:color="auto"/>
                        <w:bottom w:val="none" w:sz="0" w:space="0" w:color="auto"/>
                        <w:right w:val="none" w:sz="0" w:space="0" w:color="auto"/>
                      </w:divBdr>
                    </w:div>
                    <w:div w:id="821317587">
                      <w:marLeft w:val="0"/>
                      <w:marRight w:val="0"/>
                      <w:marTop w:val="0"/>
                      <w:marBottom w:val="0"/>
                      <w:divBdr>
                        <w:top w:val="none" w:sz="0" w:space="0" w:color="auto"/>
                        <w:left w:val="none" w:sz="0" w:space="0" w:color="auto"/>
                        <w:bottom w:val="none" w:sz="0" w:space="0" w:color="auto"/>
                        <w:right w:val="none" w:sz="0" w:space="0" w:color="auto"/>
                      </w:divBdr>
                      <w:divsChild>
                        <w:div w:id="2034182618">
                          <w:marLeft w:val="0"/>
                          <w:marRight w:val="0"/>
                          <w:marTop w:val="0"/>
                          <w:marBottom w:val="0"/>
                          <w:divBdr>
                            <w:top w:val="none" w:sz="0" w:space="0" w:color="auto"/>
                            <w:left w:val="none" w:sz="0" w:space="0" w:color="auto"/>
                            <w:bottom w:val="none" w:sz="0" w:space="0" w:color="auto"/>
                            <w:right w:val="none" w:sz="0" w:space="0" w:color="auto"/>
                          </w:divBdr>
                        </w:div>
                        <w:div w:id="44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97">
              <w:marLeft w:val="0"/>
              <w:marRight w:val="0"/>
              <w:marTop w:val="0"/>
              <w:marBottom w:val="0"/>
              <w:divBdr>
                <w:top w:val="none" w:sz="0" w:space="0" w:color="auto"/>
                <w:left w:val="none" w:sz="0" w:space="0" w:color="auto"/>
                <w:bottom w:val="none" w:sz="0" w:space="0" w:color="auto"/>
                <w:right w:val="none" w:sz="0" w:space="0" w:color="auto"/>
              </w:divBdr>
              <w:divsChild>
                <w:div w:id="995837381">
                  <w:marLeft w:val="0"/>
                  <w:marRight w:val="0"/>
                  <w:marTop w:val="0"/>
                  <w:marBottom w:val="0"/>
                  <w:divBdr>
                    <w:top w:val="none" w:sz="0" w:space="0" w:color="auto"/>
                    <w:left w:val="none" w:sz="0" w:space="0" w:color="auto"/>
                    <w:bottom w:val="none" w:sz="0" w:space="0" w:color="auto"/>
                    <w:right w:val="none" w:sz="0" w:space="0" w:color="auto"/>
                  </w:divBdr>
                  <w:divsChild>
                    <w:div w:id="2140566953">
                      <w:marLeft w:val="0"/>
                      <w:marRight w:val="0"/>
                      <w:marTop w:val="0"/>
                      <w:marBottom w:val="0"/>
                      <w:divBdr>
                        <w:top w:val="none" w:sz="0" w:space="0" w:color="auto"/>
                        <w:left w:val="none" w:sz="0" w:space="0" w:color="auto"/>
                        <w:bottom w:val="none" w:sz="0" w:space="0" w:color="auto"/>
                        <w:right w:val="none" w:sz="0" w:space="0" w:color="auto"/>
                      </w:divBdr>
                    </w:div>
                    <w:div w:id="1790853323">
                      <w:marLeft w:val="0"/>
                      <w:marRight w:val="0"/>
                      <w:marTop w:val="0"/>
                      <w:marBottom w:val="0"/>
                      <w:divBdr>
                        <w:top w:val="none" w:sz="0" w:space="0" w:color="auto"/>
                        <w:left w:val="none" w:sz="0" w:space="0" w:color="auto"/>
                        <w:bottom w:val="none" w:sz="0" w:space="0" w:color="auto"/>
                        <w:right w:val="none" w:sz="0" w:space="0" w:color="auto"/>
                      </w:divBdr>
                      <w:divsChild>
                        <w:div w:id="237178578">
                          <w:marLeft w:val="0"/>
                          <w:marRight w:val="0"/>
                          <w:marTop w:val="0"/>
                          <w:marBottom w:val="0"/>
                          <w:divBdr>
                            <w:top w:val="none" w:sz="0" w:space="0" w:color="auto"/>
                            <w:left w:val="none" w:sz="0" w:space="0" w:color="auto"/>
                            <w:bottom w:val="none" w:sz="0" w:space="0" w:color="auto"/>
                            <w:right w:val="none" w:sz="0" w:space="0" w:color="auto"/>
                          </w:divBdr>
                        </w:div>
                        <w:div w:id="7390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12">
              <w:marLeft w:val="0"/>
              <w:marRight w:val="0"/>
              <w:marTop w:val="0"/>
              <w:marBottom w:val="0"/>
              <w:divBdr>
                <w:top w:val="none" w:sz="0" w:space="0" w:color="auto"/>
                <w:left w:val="none" w:sz="0" w:space="0" w:color="auto"/>
                <w:bottom w:val="none" w:sz="0" w:space="0" w:color="auto"/>
                <w:right w:val="none" w:sz="0" w:space="0" w:color="auto"/>
              </w:divBdr>
              <w:divsChild>
                <w:div w:id="1051154243">
                  <w:marLeft w:val="0"/>
                  <w:marRight w:val="0"/>
                  <w:marTop w:val="0"/>
                  <w:marBottom w:val="0"/>
                  <w:divBdr>
                    <w:top w:val="none" w:sz="0" w:space="0" w:color="auto"/>
                    <w:left w:val="none" w:sz="0" w:space="0" w:color="auto"/>
                    <w:bottom w:val="none" w:sz="0" w:space="0" w:color="auto"/>
                    <w:right w:val="none" w:sz="0" w:space="0" w:color="auto"/>
                  </w:divBdr>
                  <w:divsChild>
                    <w:div w:id="1562015417">
                      <w:marLeft w:val="0"/>
                      <w:marRight w:val="0"/>
                      <w:marTop w:val="0"/>
                      <w:marBottom w:val="0"/>
                      <w:divBdr>
                        <w:top w:val="none" w:sz="0" w:space="0" w:color="auto"/>
                        <w:left w:val="none" w:sz="0" w:space="0" w:color="auto"/>
                        <w:bottom w:val="none" w:sz="0" w:space="0" w:color="auto"/>
                        <w:right w:val="none" w:sz="0" w:space="0" w:color="auto"/>
                      </w:divBdr>
                    </w:div>
                    <w:div w:id="1347748952">
                      <w:marLeft w:val="0"/>
                      <w:marRight w:val="0"/>
                      <w:marTop w:val="0"/>
                      <w:marBottom w:val="0"/>
                      <w:divBdr>
                        <w:top w:val="none" w:sz="0" w:space="0" w:color="auto"/>
                        <w:left w:val="none" w:sz="0" w:space="0" w:color="auto"/>
                        <w:bottom w:val="none" w:sz="0" w:space="0" w:color="auto"/>
                        <w:right w:val="none" w:sz="0" w:space="0" w:color="auto"/>
                      </w:divBdr>
                      <w:divsChild>
                        <w:div w:id="937326816">
                          <w:marLeft w:val="0"/>
                          <w:marRight w:val="0"/>
                          <w:marTop w:val="0"/>
                          <w:marBottom w:val="0"/>
                          <w:divBdr>
                            <w:top w:val="none" w:sz="0" w:space="0" w:color="auto"/>
                            <w:left w:val="none" w:sz="0" w:space="0" w:color="auto"/>
                            <w:bottom w:val="none" w:sz="0" w:space="0" w:color="auto"/>
                            <w:right w:val="none" w:sz="0" w:space="0" w:color="auto"/>
                          </w:divBdr>
                        </w:div>
                        <w:div w:id="13741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4632">
      <w:bodyDiv w:val="1"/>
      <w:marLeft w:val="0"/>
      <w:marRight w:val="0"/>
      <w:marTop w:val="0"/>
      <w:marBottom w:val="0"/>
      <w:divBdr>
        <w:top w:val="none" w:sz="0" w:space="0" w:color="auto"/>
        <w:left w:val="none" w:sz="0" w:space="0" w:color="auto"/>
        <w:bottom w:val="none" w:sz="0" w:space="0" w:color="auto"/>
        <w:right w:val="none" w:sz="0" w:space="0" w:color="auto"/>
      </w:divBdr>
      <w:divsChild>
        <w:div w:id="834761974">
          <w:marLeft w:val="0"/>
          <w:marRight w:val="0"/>
          <w:marTop w:val="0"/>
          <w:marBottom w:val="0"/>
          <w:divBdr>
            <w:top w:val="none" w:sz="0" w:space="0" w:color="auto"/>
            <w:left w:val="none" w:sz="0" w:space="0" w:color="auto"/>
            <w:bottom w:val="none" w:sz="0" w:space="0" w:color="auto"/>
            <w:right w:val="none" w:sz="0" w:space="0" w:color="auto"/>
          </w:divBdr>
        </w:div>
      </w:divsChild>
    </w:div>
    <w:div w:id="690225636">
      <w:bodyDiv w:val="1"/>
      <w:marLeft w:val="0"/>
      <w:marRight w:val="0"/>
      <w:marTop w:val="0"/>
      <w:marBottom w:val="0"/>
      <w:divBdr>
        <w:top w:val="none" w:sz="0" w:space="0" w:color="auto"/>
        <w:left w:val="none" w:sz="0" w:space="0" w:color="auto"/>
        <w:bottom w:val="none" w:sz="0" w:space="0" w:color="auto"/>
        <w:right w:val="none" w:sz="0" w:space="0" w:color="auto"/>
      </w:divBdr>
      <w:divsChild>
        <w:div w:id="1840851416">
          <w:marLeft w:val="0"/>
          <w:marRight w:val="0"/>
          <w:marTop w:val="0"/>
          <w:marBottom w:val="0"/>
          <w:divBdr>
            <w:top w:val="none" w:sz="0" w:space="0" w:color="auto"/>
            <w:left w:val="none" w:sz="0" w:space="0" w:color="auto"/>
            <w:bottom w:val="none" w:sz="0" w:space="0" w:color="auto"/>
            <w:right w:val="none" w:sz="0" w:space="0" w:color="auto"/>
          </w:divBdr>
        </w:div>
        <w:div w:id="217210504">
          <w:marLeft w:val="0"/>
          <w:marRight w:val="0"/>
          <w:marTop w:val="0"/>
          <w:marBottom w:val="0"/>
          <w:divBdr>
            <w:top w:val="none" w:sz="0" w:space="0" w:color="auto"/>
            <w:left w:val="none" w:sz="0" w:space="0" w:color="auto"/>
            <w:bottom w:val="none" w:sz="0" w:space="0" w:color="auto"/>
            <w:right w:val="none" w:sz="0" w:space="0" w:color="auto"/>
          </w:divBdr>
          <w:divsChild>
            <w:div w:id="11758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537">
      <w:bodyDiv w:val="1"/>
      <w:marLeft w:val="0"/>
      <w:marRight w:val="0"/>
      <w:marTop w:val="0"/>
      <w:marBottom w:val="0"/>
      <w:divBdr>
        <w:top w:val="none" w:sz="0" w:space="0" w:color="auto"/>
        <w:left w:val="none" w:sz="0" w:space="0" w:color="auto"/>
        <w:bottom w:val="none" w:sz="0" w:space="0" w:color="auto"/>
        <w:right w:val="none" w:sz="0" w:space="0" w:color="auto"/>
      </w:divBdr>
      <w:divsChild>
        <w:div w:id="594871154">
          <w:marLeft w:val="0"/>
          <w:marRight w:val="0"/>
          <w:marTop w:val="0"/>
          <w:marBottom w:val="0"/>
          <w:divBdr>
            <w:top w:val="none" w:sz="0" w:space="0" w:color="auto"/>
            <w:left w:val="none" w:sz="0" w:space="0" w:color="auto"/>
            <w:bottom w:val="none" w:sz="0" w:space="0" w:color="auto"/>
            <w:right w:val="none" w:sz="0" w:space="0" w:color="auto"/>
          </w:divBdr>
          <w:divsChild>
            <w:div w:id="1885405905">
              <w:marLeft w:val="0"/>
              <w:marRight w:val="0"/>
              <w:marTop w:val="0"/>
              <w:marBottom w:val="0"/>
              <w:divBdr>
                <w:top w:val="none" w:sz="0" w:space="0" w:color="auto"/>
                <w:left w:val="none" w:sz="0" w:space="0" w:color="auto"/>
                <w:bottom w:val="none" w:sz="0" w:space="0" w:color="auto"/>
                <w:right w:val="none" w:sz="0" w:space="0" w:color="auto"/>
              </w:divBdr>
              <w:divsChild>
                <w:div w:id="1124152844">
                  <w:marLeft w:val="0"/>
                  <w:marRight w:val="0"/>
                  <w:marTop w:val="0"/>
                  <w:marBottom w:val="0"/>
                  <w:divBdr>
                    <w:top w:val="none" w:sz="0" w:space="0" w:color="auto"/>
                    <w:left w:val="none" w:sz="0" w:space="0" w:color="auto"/>
                    <w:bottom w:val="none" w:sz="0" w:space="0" w:color="auto"/>
                    <w:right w:val="none" w:sz="0" w:space="0" w:color="auto"/>
                  </w:divBdr>
                  <w:divsChild>
                    <w:div w:id="495876916">
                      <w:marLeft w:val="0"/>
                      <w:marRight w:val="0"/>
                      <w:marTop w:val="0"/>
                      <w:marBottom w:val="0"/>
                      <w:divBdr>
                        <w:top w:val="none" w:sz="0" w:space="0" w:color="auto"/>
                        <w:left w:val="none" w:sz="0" w:space="0" w:color="auto"/>
                        <w:bottom w:val="none" w:sz="0" w:space="0" w:color="auto"/>
                        <w:right w:val="none" w:sz="0" w:space="0" w:color="auto"/>
                      </w:divBdr>
                    </w:div>
                    <w:div w:id="858662122">
                      <w:marLeft w:val="0"/>
                      <w:marRight w:val="0"/>
                      <w:marTop w:val="0"/>
                      <w:marBottom w:val="0"/>
                      <w:divBdr>
                        <w:top w:val="none" w:sz="0" w:space="0" w:color="auto"/>
                        <w:left w:val="none" w:sz="0" w:space="0" w:color="auto"/>
                        <w:bottom w:val="none" w:sz="0" w:space="0" w:color="auto"/>
                        <w:right w:val="none" w:sz="0" w:space="0" w:color="auto"/>
                      </w:divBdr>
                    </w:div>
                  </w:divsChild>
                </w:div>
                <w:div w:id="1161696579">
                  <w:marLeft w:val="0"/>
                  <w:marRight w:val="0"/>
                  <w:marTop w:val="0"/>
                  <w:marBottom w:val="0"/>
                  <w:divBdr>
                    <w:top w:val="none" w:sz="0" w:space="0" w:color="auto"/>
                    <w:left w:val="none" w:sz="0" w:space="0" w:color="auto"/>
                    <w:bottom w:val="none" w:sz="0" w:space="0" w:color="auto"/>
                    <w:right w:val="none" w:sz="0" w:space="0" w:color="auto"/>
                  </w:divBdr>
                  <w:divsChild>
                    <w:div w:id="1406760423">
                      <w:marLeft w:val="0"/>
                      <w:marRight w:val="0"/>
                      <w:marTop w:val="0"/>
                      <w:marBottom w:val="0"/>
                      <w:divBdr>
                        <w:top w:val="none" w:sz="0" w:space="0" w:color="auto"/>
                        <w:left w:val="none" w:sz="0" w:space="0" w:color="auto"/>
                        <w:bottom w:val="none" w:sz="0" w:space="0" w:color="auto"/>
                        <w:right w:val="none" w:sz="0" w:space="0" w:color="auto"/>
                      </w:divBdr>
                    </w:div>
                  </w:divsChild>
                </w:div>
                <w:div w:id="852763159">
                  <w:marLeft w:val="0"/>
                  <w:marRight w:val="0"/>
                  <w:marTop w:val="0"/>
                  <w:marBottom w:val="0"/>
                  <w:divBdr>
                    <w:top w:val="none" w:sz="0" w:space="0" w:color="auto"/>
                    <w:left w:val="none" w:sz="0" w:space="0" w:color="auto"/>
                    <w:bottom w:val="none" w:sz="0" w:space="0" w:color="auto"/>
                    <w:right w:val="none" w:sz="0" w:space="0" w:color="auto"/>
                  </w:divBdr>
                  <w:divsChild>
                    <w:div w:id="1290941924">
                      <w:marLeft w:val="0"/>
                      <w:marRight w:val="0"/>
                      <w:marTop w:val="0"/>
                      <w:marBottom w:val="0"/>
                      <w:divBdr>
                        <w:top w:val="none" w:sz="0" w:space="0" w:color="auto"/>
                        <w:left w:val="none" w:sz="0" w:space="0" w:color="auto"/>
                        <w:bottom w:val="none" w:sz="0" w:space="0" w:color="auto"/>
                        <w:right w:val="none" w:sz="0" w:space="0" w:color="auto"/>
                      </w:divBdr>
                      <w:divsChild>
                        <w:div w:id="429742548">
                          <w:marLeft w:val="0"/>
                          <w:marRight w:val="0"/>
                          <w:marTop w:val="0"/>
                          <w:marBottom w:val="0"/>
                          <w:divBdr>
                            <w:top w:val="none" w:sz="0" w:space="0" w:color="auto"/>
                            <w:left w:val="none" w:sz="0" w:space="0" w:color="auto"/>
                            <w:bottom w:val="none" w:sz="0" w:space="0" w:color="auto"/>
                            <w:right w:val="none" w:sz="0" w:space="0" w:color="auto"/>
                          </w:divBdr>
                        </w:div>
                      </w:divsChild>
                    </w:div>
                    <w:div w:id="314728096">
                      <w:marLeft w:val="0"/>
                      <w:marRight w:val="0"/>
                      <w:marTop w:val="0"/>
                      <w:marBottom w:val="0"/>
                      <w:divBdr>
                        <w:top w:val="none" w:sz="0" w:space="0" w:color="auto"/>
                        <w:left w:val="none" w:sz="0" w:space="0" w:color="auto"/>
                        <w:bottom w:val="none" w:sz="0" w:space="0" w:color="auto"/>
                        <w:right w:val="none" w:sz="0" w:space="0" w:color="auto"/>
                      </w:divBdr>
                      <w:divsChild>
                        <w:div w:id="2036882929">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025908733">
      <w:bodyDiv w:val="1"/>
      <w:marLeft w:val="0"/>
      <w:marRight w:val="0"/>
      <w:marTop w:val="0"/>
      <w:marBottom w:val="0"/>
      <w:divBdr>
        <w:top w:val="none" w:sz="0" w:space="0" w:color="auto"/>
        <w:left w:val="none" w:sz="0" w:space="0" w:color="auto"/>
        <w:bottom w:val="none" w:sz="0" w:space="0" w:color="auto"/>
        <w:right w:val="none" w:sz="0" w:space="0" w:color="auto"/>
      </w:divBdr>
    </w:div>
    <w:div w:id="1036849936">
      <w:bodyDiv w:val="1"/>
      <w:marLeft w:val="0"/>
      <w:marRight w:val="0"/>
      <w:marTop w:val="0"/>
      <w:marBottom w:val="0"/>
      <w:divBdr>
        <w:top w:val="none" w:sz="0" w:space="0" w:color="auto"/>
        <w:left w:val="none" w:sz="0" w:space="0" w:color="auto"/>
        <w:bottom w:val="none" w:sz="0" w:space="0" w:color="auto"/>
        <w:right w:val="none" w:sz="0" w:space="0" w:color="auto"/>
      </w:divBdr>
      <w:divsChild>
        <w:div w:id="1246457538">
          <w:marLeft w:val="0"/>
          <w:marRight w:val="0"/>
          <w:marTop w:val="0"/>
          <w:marBottom w:val="0"/>
          <w:divBdr>
            <w:top w:val="none" w:sz="0" w:space="0" w:color="auto"/>
            <w:left w:val="none" w:sz="0" w:space="0" w:color="auto"/>
            <w:bottom w:val="none" w:sz="0" w:space="0" w:color="auto"/>
            <w:right w:val="none" w:sz="0" w:space="0" w:color="auto"/>
          </w:divBdr>
          <w:divsChild>
            <w:div w:id="124323268">
              <w:marLeft w:val="0"/>
              <w:marRight w:val="0"/>
              <w:marTop w:val="0"/>
              <w:marBottom w:val="0"/>
              <w:divBdr>
                <w:top w:val="none" w:sz="0" w:space="0" w:color="auto"/>
                <w:left w:val="none" w:sz="0" w:space="0" w:color="auto"/>
                <w:bottom w:val="none" w:sz="0" w:space="0" w:color="auto"/>
                <w:right w:val="none" w:sz="0" w:space="0" w:color="auto"/>
              </w:divBdr>
            </w:div>
          </w:divsChild>
        </w:div>
        <w:div w:id="1008495">
          <w:marLeft w:val="0"/>
          <w:marRight w:val="0"/>
          <w:marTop w:val="0"/>
          <w:marBottom w:val="0"/>
          <w:divBdr>
            <w:top w:val="none" w:sz="0" w:space="0" w:color="auto"/>
            <w:left w:val="none" w:sz="0" w:space="0" w:color="auto"/>
            <w:bottom w:val="none" w:sz="0" w:space="0" w:color="auto"/>
            <w:right w:val="none" w:sz="0" w:space="0" w:color="auto"/>
          </w:divBdr>
          <w:divsChild>
            <w:div w:id="980499537">
              <w:marLeft w:val="0"/>
              <w:marRight w:val="0"/>
              <w:marTop w:val="0"/>
              <w:marBottom w:val="0"/>
              <w:divBdr>
                <w:top w:val="none" w:sz="0" w:space="0" w:color="auto"/>
                <w:left w:val="none" w:sz="0" w:space="0" w:color="auto"/>
                <w:bottom w:val="none" w:sz="0" w:space="0" w:color="auto"/>
                <w:right w:val="none" w:sz="0" w:space="0" w:color="auto"/>
              </w:divBdr>
            </w:div>
            <w:div w:id="826746410">
              <w:marLeft w:val="0"/>
              <w:marRight w:val="0"/>
              <w:marTop w:val="0"/>
              <w:marBottom w:val="0"/>
              <w:divBdr>
                <w:top w:val="none" w:sz="0" w:space="0" w:color="auto"/>
                <w:left w:val="none" w:sz="0" w:space="0" w:color="auto"/>
                <w:bottom w:val="none" w:sz="0" w:space="0" w:color="auto"/>
                <w:right w:val="none" w:sz="0" w:space="0" w:color="auto"/>
              </w:divBdr>
              <w:divsChild>
                <w:div w:id="730544457">
                  <w:marLeft w:val="0"/>
                  <w:marRight w:val="0"/>
                  <w:marTop w:val="0"/>
                  <w:marBottom w:val="0"/>
                  <w:divBdr>
                    <w:top w:val="none" w:sz="0" w:space="0" w:color="auto"/>
                    <w:left w:val="none" w:sz="0" w:space="0" w:color="auto"/>
                    <w:bottom w:val="none" w:sz="0" w:space="0" w:color="auto"/>
                    <w:right w:val="none" w:sz="0" w:space="0" w:color="auto"/>
                  </w:divBdr>
                </w:div>
              </w:divsChild>
            </w:div>
            <w:div w:id="765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638">
      <w:bodyDiv w:val="1"/>
      <w:marLeft w:val="0"/>
      <w:marRight w:val="0"/>
      <w:marTop w:val="0"/>
      <w:marBottom w:val="0"/>
      <w:divBdr>
        <w:top w:val="none" w:sz="0" w:space="0" w:color="auto"/>
        <w:left w:val="none" w:sz="0" w:space="0" w:color="auto"/>
        <w:bottom w:val="none" w:sz="0" w:space="0" w:color="auto"/>
        <w:right w:val="none" w:sz="0" w:space="0" w:color="auto"/>
      </w:divBdr>
      <w:divsChild>
        <w:div w:id="614672625">
          <w:marLeft w:val="0"/>
          <w:marRight w:val="0"/>
          <w:marTop w:val="0"/>
          <w:marBottom w:val="0"/>
          <w:divBdr>
            <w:top w:val="none" w:sz="0" w:space="0" w:color="auto"/>
            <w:left w:val="none" w:sz="0" w:space="0" w:color="auto"/>
            <w:bottom w:val="none" w:sz="0" w:space="0" w:color="auto"/>
            <w:right w:val="none" w:sz="0" w:space="0" w:color="auto"/>
          </w:divBdr>
        </w:div>
        <w:div w:id="908659979">
          <w:marLeft w:val="0"/>
          <w:marRight w:val="0"/>
          <w:marTop w:val="0"/>
          <w:marBottom w:val="0"/>
          <w:divBdr>
            <w:top w:val="none" w:sz="0" w:space="0" w:color="auto"/>
            <w:left w:val="none" w:sz="0" w:space="0" w:color="auto"/>
            <w:bottom w:val="none" w:sz="0" w:space="0" w:color="auto"/>
            <w:right w:val="none" w:sz="0" w:space="0" w:color="auto"/>
          </w:divBdr>
        </w:div>
        <w:div w:id="1020353247">
          <w:marLeft w:val="0"/>
          <w:marRight w:val="0"/>
          <w:marTop w:val="0"/>
          <w:marBottom w:val="0"/>
          <w:divBdr>
            <w:top w:val="none" w:sz="0" w:space="0" w:color="auto"/>
            <w:left w:val="none" w:sz="0" w:space="0" w:color="auto"/>
            <w:bottom w:val="none" w:sz="0" w:space="0" w:color="auto"/>
            <w:right w:val="none" w:sz="0" w:space="0" w:color="auto"/>
          </w:divBdr>
        </w:div>
      </w:divsChild>
    </w:div>
    <w:div w:id="1223979282">
      <w:bodyDiv w:val="1"/>
      <w:marLeft w:val="0"/>
      <w:marRight w:val="0"/>
      <w:marTop w:val="0"/>
      <w:marBottom w:val="0"/>
      <w:divBdr>
        <w:top w:val="none" w:sz="0" w:space="0" w:color="auto"/>
        <w:left w:val="none" w:sz="0" w:space="0" w:color="auto"/>
        <w:bottom w:val="none" w:sz="0" w:space="0" w:color="auto"/>
        <w:right w:val="none" w:sz="0" w:space="0" w:color="auto"/>
      </w:divBdr>
      <w:divsChild>
        <w:div w:id="960652326">
          <w:marLeft w:val="0"/>
          <w:marRight w:val="0"/>
          <w:marTop w:val="0"/>
          <w:marBottom w:val="0"/>
          <w:divBdr>
            <w:top w:val="none" w:sz="0" w:space="0" w:color="auto"/>
            <w:left w:val="none" w:sz="0" w:space="0" w:color="auto"/>
            <w:bottom w:val="none" w:sz="0" w:space="0" w:color="auto"/>
            <w:right w:val="none" w:sz="0" w:space="0" w:color="auto"/>
          </w:divBdr>
          <w:divsChild>
            <w:div w:id="33191956">
              <w:marLeft w:val="0"/>
              <w:marRight w:val="0"/>
              <w:marTop w:val="0"/>
              <w:marBottom w:val="0"/>
              <w:divBdr>
                <w:top w:val="none" w:sz="0" w:space="0" w:color="auto"/>
                <w:left w:val="none" w:sz="0" w:space="0" w:color="auto"/>
                <w:bottom w:val="none" w:sz="0" w:space="0" w:color="auto"/>
                <w:right w:val="none" w:sz="0" w:space="0" w:color="auto"/>
              </w:divBdr>
              <w:divsChild>
                <w:div w:id="1751661208">
                  <w:marLeft w:val="0"/>
                  <w:marRight w:val="0"/>
                  <w:marTop w:val="0"/>
                  <w:marBottom w:val="0"/>
                  <w:divBdr>
                    <w:top w:val="none" w:sz="0" w:space="0" w:color="auto"/>
                    <w:left w:val="none" w:sz="0" w:space="0" w:color="auto"/>
                    <w:bottom w:val="none" w:sz="0" w:space="0" w:color="auto"/>
                    <w:right w:val="none" w:sz="0" w:space="0" w:color="auto"/>
                  </w:divBdr>
                  <w:divsChild>
                    <w:div w:id="585578509">
                      <w:marLeft w:val="0"/>
                      <w:marRight w:val="0"/>
                      <w:marTop w:val="0"/>
                      <w:marBottom w:val="0"/>
                      <w:divBdr>
                        <w:top w:val="none" w:sz="0" w:space="0" w:color="auto"/>
                        <w:left w:val="none" w:sz="0" w:space="0" w:color="auto"/>
                        <w:bottom w:val="none" w:sz="0" w:space="0" w:color="auto"/>
                        <w:right w:val="none" w:sz="0" w:space="0" w:color="auto"/>
                      </w:divBdr>
                    </w:div>
                    <w:div w:id="763115700">
                      <w:marLeft w:val="0"/>
                      <w:marRight w:val="0"/>
                      <w:marTop w:val="0"/>
                      <w:marBottom w:val="0"/>
                      <w:divBdr>
                        <w:top w:val="none" w:sz="0" w:space="0" w:color="auto"/>
                        <w:left w:val="none" w:sz="0" w:space="0" w:color="auto"/>
                        <w:bottom w:val="none" w:sz="0" w:space="0" w:color="auto"/>
                        <w:right w:val="none" w:sz="0" w:space="0" w:color="auto"/>
                      </w:divBdr>
                      <w:divsChild>
                        <w:div w:id="1702241843">
                          <w:marLeft w:val="0"/>
                          <w:marRight w:val="0"/>
                          <w:marTop w:val="0"/>
                          <w:marBottom w:val="0"/>
                          <w:divBdr>
                            <w:top w:val="none" w:sz="0" w:space="0" w:color="auto"/>
                            <w:left w:val="none" w:sz="0" w:space="0" w:color="auto"/>
                            <w:bottom w:val="none" w:sz="0" w:space="0" w:color="auto"/>
                            <w:right w:val="none" w:sz="0" w:space="0" w:color="auto"/>
                          </w:divBdr>
                        </w:div>
                        <w:div w:id="385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7709">
          <w:marLeft w:val="0"/>
          <w:marRight w:val="0"/>
          <w:marTop w:val="0"/>
          <w:marBottom w:val="0"/>
          <w:divBdr>
            <w:top w:val="none" w:sz="0" w:space="0" w:color="auto"/>
            <w:left w:val="none" w:sz="0" w:space="0" w:color="auto"/>
            <w:bottom w:val="none" w:sz="0" w:space="0" w:color="auto"/>
            <w:right w:val="none" w:sz="0" w:space="0" w:color="auto"/>
          </w:divBdr>
        </w:div>
      </w:divsChild>
    </w:div>
    <w:div w:id="1241407509">
      <w:bodyDiv w:val="1"/>
      <w:marLeft w:val="0"/>
      <w:marRight w:val="0"/>
      <w:marTop w:val="0"/>
      <w:marBottom w:val="0"/>
      <w:divBdr>
        <w:top w:val="none" w:sz="0" w:space="0" w:color="auto"/>
        <w:left w:val="none" w:sz="0" w:space="0" w:color="auto"/>
        <w:bottom w:val="none" w:sz="0" w:space="0" w:color="auto"/>
        <w:right w:val="none" w:sz="0" w:space="0" w:color="auto"/>
      </w:divBdr>
    </w:div>
    <w:div w:id="1466851792">
      <w:bodyDiv w:val="1"/>
      <w:marLeft w:val="0"/>
      <w:marRight w:val="0"/>
      <w:marTop w:val="0"/>
      <w:marBottom w:val="0"/>
      <w:divBdr>
        <w:top w:val="none" w:sz="0" w:space="0" w:color="auto"/>
        <w:left w:val="none" w:sz="0" w:space="0" w:color="auto"/>
        <w:bottom w:val="none" w:sz="0" w:space="0" w:color="auto"/>
        <w:right w:val="none" w:sz="0" w:space="0" w:color="auto"/>
      </w:divBdr>
    </w:div>
    <w:div w:id="1517187139">
      <w:bodyDiv w:val="1"/>
      <w:marLeft w:val="0"/>
      <w:marRight w:val="0"/>
      <w:marTop w:val="0"/>
      <w:marBottom w:val="0"/>
      <w:divBdr>
        <w:top w:val="none" w:sz="0" w:space="0" w:color="auto"/>
        <w:left w:val="none" w:sz="0" w:space="0" w:color="auto"/>
        <w:bottom w:val="none" w:sz="0" w:space="0" w:color="auto"/>
        <w:right w:val="none" w:sz="0" w:space="0" w:color="auto"/>
      </w:divBdr>
    </w:div>
    <w:div w:id="1642806183">
      <w:bodyDiv w:val="1"/>
      <w:marLeft w:val="0"/>
      <w:marRight w:val="0"/>
      <w:marTop w:val="0"/>
      <w:marBottom w:val="0"/>
      <w:divBdr>
        <w:top w:val="none" w:sz="0" w:space="0" w:color="auto"/>
        <w:left w:val="none" w:sz="0" w:space="0" w:color="auto"/>
        <w:bottom w:val="none" w:sz="0" w:space="0" w:color="auto"/>
        <w:right w:val="none" w:sz="0" w:space="0" w:color="auto"/>
      </w:divBdr>
    </w:div>
    <w:div w:id="1948191563">
      <w:bodyDiv w:val="1"/>
      <w:marLeft w:val="0"/>
      <w:marRight w:val="0"/>
      <w:marTop w:val="0"/>
      <w:marBottom w:val="0"/>
      <w:divBdr>
        <w:top w:val="none" w:sz="0" w:space="0" w:color="auto"/>
        <w:left w:val="none" w:sz="0" w:space="0" w:color="auto"/>
        <w:bottom w:val="none" w:sz="0" w:space="0" w:color="auto"/>
        <w:right w:val="none" w:sz="0" w:space="0" w:color="auto"/>
      </w:divBdr>
      <w:divsChild>
        <w:div w:id="264384375">
          <w:marLeft w:val="0"/>
          <w:marRight w:val="0"/>
          <w:marTop w:val="0"/>
          <w:marBottom w:val="0"/>
          <w:divBdr>
            <w:top w:val="none" w:sz="0" w:space="0" w:color="auto"/>
            <w:left w:val="none" w:sz="0" w:space="0" w:color="auto"/>
            <w:bottom w:val="none" w:sz="0" w:space="0" w:color="auto"/>
            <w:right w:val="none" w:sz="0" w:space="0" w:color="auto"/>
          </w:divBdr>
        </w:div>
        <w:div w:id="746921553">
          <w:marLeft w:val="0"/>
          <w:marRight w:val="0"/>
          <w:marTop w:val="0"/>
          <w:marBottom w:val="0"/>
          <w:divBdr>
            <w:top w:val="none" w:sz="0" w:space="0" w:color="auto"/>
            <w:left w:val="none" w:sz="0" w:space="0" w:color="auto"/>
            <w:bottom w:val="none" w:sz="0" w:space="0" w:color="auto"/>
            <w:right w:val="none" w:sz="0" w:space="0" w:color="auto"/>
          </w:divBdr>
          <w:divsChild>
            <w:div w:id="562831570">
              <w:marLeft w:val="0"/>
              <w:marRight w:val="0"/>
              <w:marTop w:val="0"/>
              <w:marBottom w:val="0"/>
              <w:divBdr>
                <w:top w:val="none" w:sz="0" w:space="0" w:color="auto"/>
                <w:left w:val="none" w:sz="0" w:space="0" w:color="auto"/>
                <w:bottom w:val="none" w:sz="0" w:space="0" w:color="auto"/>
                <w:right w:val="none" w:sz="0" w:space="0" w:color="auto"/>
              </w:divBdr>
              <w:divsChild>
                <w:div w:id="265387511">
                  <w:marLeft w:val="0"/>
                  <w:marRight w:val="0"/>
                  <w:marTop w:val="0"/>
                  <w:marBottom w:val="0"/>
                  <w:divBdr>
                    <w:top w:val="none" w:sz="0" w:space="0" w:color="auto"/>
                    <w:left w:val="none" w:sz="0" w:space="0" w:color="auto"/>
                    <w:bottom w:val="none" w:sz="0" w:space="0" w:color="auto"/>
                    <w:right w:val="none" w:sz="0" w:space="0" w:color="auto"/>
                  </w:divBdr>
                  <w:divsChild>
                    <w:div w:id="1823425134">
                      <w:marLeft w:val="0"/>
                      <w:marRight w:val="0"/>
                      <w:marTop w:val="0"/>
                      <w:marBottom w:val="0"/>
                      <w:divBdr>
                        <w:top w:val="none" w:sz="0" w:space="0" w:color="auto"/>
                        <w:left w:val="none" w:sz="0" w:space="0" w:color="auto"/>
                        <w:bottom w:val="none" w:sz="0" w:space="0" w:color="auto"/>
                        <w:right w:val="none" w:sz="0" w:space="0" w:color="auto"/>
                      </w:divBdr>
                    </w:div>
                    <w:div w:id="108399050">
                      <w:marLeft w:val="0"/>
                      <w:marRight w:val="0"/>
                      <w:marTop w:val="0"/>
                      <w:marBottom w:val="0"/>
                      <w:divBdr>
                        <w:top w:val="none" w:sz="0" w:space="0" w:color="auto"/>
                        <w:left w:val="none" w:sz="0" w:space="0" w:color="auto"/>
                        <w:bottom w:val="none" w:sz="0" w:space="0" w:color="auto"/>
                        <w:right w:val="none" w:sz="0" w:space="0" w:color="auto"/>
                      </w:divBdr>
                      <w:divsChild>
                        <w:div w:id="449513097">
                          <w:marLeft w:val="0"/>
                          <w:marRight w:val="0"/>
                          <w:marTop w:val="0"/>
                          <w:marBottom w:val="0"/>
                          <w:divBdr>
                            <w:top w:val="none" w:sz="0" w:space="0" w:color="auto"/>
                            <w:left w:val="none" w:sz="0" w:space="0" w:color="auto"/>
                            <w:bottom w:val="none" w:sz="0" w:space="0" w:color="auto"/>
                            <w:right w:val="none" w:sz="0" w:space="0" w:color="auto"/>
                          </w:divBdr>
                        </w:div>
                        <w:div w:id="11001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logdudroitelectoral.fr/2020/01/de-la-clarification-a-linnovation-en-droit-electoral-retour-sur-les-lois-du-2-decembre-2019-r-rambaud-avec-renvoi-a-b-vincens-bouguereau/" TargetMode="External"/><Relationship Id="rId18" Type="http://schemas.openxmlformats.org/officeDocument/2006/relationships/hyperlink" Target="https://www.legifrance.gouv.fr/affichCodeArticle.do?cidTexte=LEGITEXT000006070239&amp;idArticle=LEGIARTI000006353106&amp;dateTexte=&amp;categorieLien=cid" TargetMode="External"/><Relationship Id="rId26" Type="http://schemas.openxmlformats.org/officeDocument/2006/relationships/hyperlink" Target="https://www.interieur.gouv.fr/content/download/120534/966795/file/Addendum-publi&#233;-9-janvier.pdf" TargetMode="External"/><Relationship Id="rId39" Type="http://schemas.openxmlformats.org/officeDocument/2006/relationships/hyperlink" Target="https://www.legifrance.gouv.fr/affichTexte.do;jsessionid=EBD4D1201500E00B776EE878E8314C13.tplgfr43s_2?cidTexte=JORFTEXT000039481980&amp;dateTexte=&amp;oldAction=rechJO&amp;categorieLien=id&amp;idJO=JORFCONT000039480071" TargetMode="External"/><Relationship Id="rId21" Type="http://schemas.openxmlformats.org/officeDocument/2006/relationships/hyperlink" Target="https://www.interieur.gouv.fr/content/download/120532/966785/file/guide-municipales-communautaires-2020-communes-de-1000-habitants-et-plus-09-01.pdf" TargetMode="External"/><Relationship Id="rId34" Type="http://schemas.openxmlformats.org/officeDocument/2006/relationships/hyperlink" Target="https://www.legifrance.gouv.fr/?cidTexte=JORFTEXT000039481980" TargetMode="External"/><Relationship Id="rId42" Type="http://schemas.openxmlformats.org/officeDocument/2006/relationships/hyperlink" Target="https://www.legifrance.gouv.fr/affichTexte.do?cidTexte=JORFTEXT000000512205&amp;categorieLien=cid" TargetMode="External"/><Relationship Id="rId47" Type="http://schemas.openxmlformats.org/officeDocument/2006/relationships/hyperlink" Target="https://www.legifrance.gouv.fr/affichCodeArticle.do?cidTexte=LEGITEXT000006070239&amp;idArticle=LEGIARTI000029928451&amp;dateTexte=&amp;categorieLien=cid" TargetMode="External"/><Relationship Id="rId50" Type="http://schemas.openxmlformats.org/officeDocument/2006/relationships/hyperlink" Target="http://www.courrierdesmaires.fr/8755/municipales-2014-la-communication-institutionnelle-en-periode-preelectorale-analys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Texte.do?cidTexte=JORFTEXT000000769091" TargetMode="External"/><Relationship Id="rId29" Type="http://schemas.openxmlformats.org/officeDocument/2006/relationships/hyperlink" Target="https://www.vie-publique.fr/eclairage/269985-municipales-2020-quelle-communication-en-periode-pre-electorale" TargetMode="External"/><Relationship Id="rId11" Type="http://schemas.openxmlformats.org/officeDocument/2006/relationships/hyperlink" Target="http://www.cnccfp.fr" TargetMode="External"/><Relationship Id="rId24" Type="http://schemas.openxmlformats.org/officeDocument/2006/relationships/hyperlink" Target="https://www.interieur.gouv.fr/content/download/120533/966790/file/guide-elections-municipales-communautaires-2020-communes-de-moins-de-1000-habitants-09-01.pdf" TargetMode="External"/><Relationship Id="rId32" Type="http://schemas.openxmlformats.org/officeDocument/2006/relationships/hyperlink" Target="https://www.csa.fr/Informer/Toutes-les-actualites/Actualites/Elections-municipales-2020-le-role-du-CSA" TargetMode="External"/><Relationship Id="rId37" Type="http://schemas.openxmlformats.org/officeDocument/2006/relationships/hyperlink" Target="https://www.legifrance.gouv.fr/affichTexte.do?cidTexte=JORFTEXT000000522846" TargetMode="External"/><Relationship Id="rId40" Type="http://schemas.openxmlformats.org/officeDocument/2006/relationships/hyperlink" Target="https://www.legifrance.gouv.fr/affichCode.do?cidTexte=LEGITEXT000006070239&amp;dateTexte=29990101&amp;categorieLien=cid" TargetMode="External"/><Relationship Id="rId45" Type="http://schemas.openxmlformats.org/officeDocument/2006/relationships/hyperlink" Target="https://www.legifrance.gouv.fr/affichTexte.do?cidTexte=JORFTEXT000023492991&amp;categorieLien=cid" TargetMode="External"/><Relationship Id="rId53" Type="http://schemas.openxmlformats.org/officeDocument/2006/relationships/hyperlink" Target="http://capcom.cap-com.org/content/le-forum-montpellier-2012-affluence-assiduit%C3%A9-et-convivialit%C3%A9" TargetMode="External"/><Relationship Id="rId5" Type="http://schemas.openxmlformats.org/officeDocument/2006/relationships/webSettings" Target="webSettings.xml"/><Relationship Id="rId10" Type="http://schemas.openxmlformats.org/officeDocument/2006/relationships/hyperlink" Target="http://www.legifrance.gouv.fr/affichTexte.do?cidTexte=JORFTEXT000023877131&amp;dateTexte=&amp;categorieLien=id" TargetMode="External"/><Relationship Id="rId19" Type="http://schemas.openxmlformats.org/officeDocument/2006/relationships/hyperlink" Target="https://www.cnil.fr/fr/tag/elections" TargetMode="External"/><Relationship Id="rId31" Type="http://schemas.openxmlformats.org/officeDocument/2006/relationships/hyperlink" Target="https://www.vie-publique.fr/loi/21026-loi-manipulation-de-linformation-loi-fake-news" TargetMode="External"/><Relationship Id="rId44" Type="http://schemas.openxmlformats.org/officeDocument/2006/relationships/hyperlink" Target="https://www.legifrance.gouv.fr/affichTexte.do?cidTexte=JORFTEXT000023492991&amp;categorieLien=cid" TargetMode="External"/><Relationship Id="rId52" Type="http://schemas.openxmlformats.org/officeDocument/2006/relationships/hyperlink" Target="http://www.cap-com.org/content/communication-et-periode-electorale-la-vigilance-s-impose" TargetMode="External"/><Relationship Id="rId4" Type="http://schemas.openxmlformats.org/officeDocument/2006/relationships/settings" Target="settings.xml"/><Relationship Id="rId9" Type="http://schemas.openxmlformats.org/officeDocument/2006/relationships/hyperlink" Target="https://www.cnil.fr/sites/default/files/typo/document/CNIL_Politique.pdf" TargetMode="External"/><Relationship Id="rId14" Type="http://schemas.openxmlformats.org/officeDocument/2006/relationships/hyperlink" Target="https://blogdudroitelectoral.fr/2020/01/la-bonne-resolution-de-lannee-2020-du-droit-electoral-francais-la-fin-des-applications-absurdes-de-linterdiction-de-la-combinaison-bleu-blanc-rouge-nouvel-article-r-27-r-rambaud/" TargetMode="External"/><Relationship Id="rId22" Type="http://schemas.openxmlformats.org/officeDocument/2006/relationships/hyperlink" Target="https://www.interieur.gouv.fr/content/download/120532/966785/file/guide-municipales-communautaires-2020-communes-de-1000-habitants-et-plus-09-01.pdf" TargetMode="External"/><Relationship Id="rId27" Type="http://schemas.openxmlformats.org/officeDocument/2006/relationships/hyperlink" Target="https://www.vie-publique.fr/eclairage/269985-municipales-2020-quelle-communication-en-periode-pre-electorale" TargetMode="External"/><Relationship Id="rId30" Type="http://schemas.openxmlformats.org/officeDocument/2006/relationships/hyperlink" Target="https://www.legifrance.gouv.fr/eli/decret/2019/12/27/INTA1928515D/jo/texte" TargetMode="External"/><Relationship Id="rId35" Type="http://schemas.openxmlformats.org/officeDocument/2006/relationships/hyperlink" Target="https://www.csa.fr/Arbitrer/Espace-juridique/Les-textes-reglementaires-du-CSA/Les-deliberations-et-recommandations-du-CSA/Recommandations-et-deliberations-du-CSA-relatives-a-d-autres-sujets/Deliberation-n-2017-62-du-22-novembre-2017-relative-au-principe-de-pluralisme-politique-dans-les-services-de-radio-et-de-television" TargetMode="External"/><Relationship Id="rId43" Type="http://schemas.openxmlformats.org/officeDocument/2006/relationships/hyperlink" Target="https://www.legifrance.gouv.fr/affichTexte.do?cidTexte=JORFTEXT000039034392&amp;categorieLien=cid" TargetMode="External"/><Relationship Id="rId48" Type="http://schemas.openxmlformats.org/officeDocument/2006/relationships/hyperlink" Target="https://www.legifrance.gouv.fr/affichTexte.do?cidTexte=JORFTEXT000023492991&amp;categorieLien=cid"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cnccfp.fr/" TargetMode="External"/><Relationship Id="rId17" Type="http://schemas.openxmlformats.org/officeDocument/2006/relationships/hyperlink" Target="https://www.legifrance.gouv.fr/affichCodeArticle.do?cidTexte=LEGITEXT000006070239&amp;idArticle=LEGIARTI000006353102&amp;dateTexte&amp;categorieLien=cid" TargetMode="External"/><Relationship Id="rId25" Type="http://schemas.openxmlformats.org/officeDocument/2006/relationships/hyperlink" Target="https://www.interieur.gouv.fr/content/download/120534/966795/file/Addendum-publi&#233;-9-janvier.pdf" TargetMode="External"/><Relationship Id="rId33" Type="http://schemas.openxmlformats.org/officeDocument/2006/relationships/hyperlink" Target="https://www.csa.fr/Arbitrer/Espace-juridique/Les-textes-reglementaires-du-CSA/Les-deliberations-et-recommandations-du-CSA/Recommandations-du-CSA-en-vue-de-consultations-electorales-ou-referendaires/Deliberation-du-4-janvier-2011-relative-au-principe-de-pluralisme-politique-dans-les-services-de-radio-et-de-television-en-periode-electorale" TargetMode="External"/><Relationship Id="rId38" Type="http://schemas.openxmlformats.org/officeDocument/2006/relationships/hyperlink" Target="https://www.vie-publique.fr/en-bref/273109-municipales-2020-regles-du-csa-et-equite-des-temps-de-parole" TargetMode="External"/><Relationship Id="rId46" Type="http://schemas.openxmlformats.org/officeDocument/2006/relationships/hyperlink" Target="https://www.legifrance.gouv.fr/affichCodeArticle.do?cidTexte=LEGITEXT000006070239&amp;idArticle=LEGIARTI000006353608&amp;dateTexte=&amp;categorieLien=cid" TargetMode="External"/><Relationship Id="rId20" Type="http://schemas.openxmlformats.org/officeDocument/2006/relationships/hyperlink" Target="https://www.interieur.gouv.fr/Elections/Elections-municipales-2020" TargetMode="External"/><Relationship Id="rId41" Type="http://schemas.openxmlformats.org/officeDocument/2006/relationships/hyperlink" Target="https://www.legifrance.gouv.fr/affichCode.do?cidTexte=LEGITEXT000006070633&amp;dateTexte=29990101&amp;categorieLien=ci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a.fr/Proteger/Garantie-des-droits-et-libertes/Proteger-le-pluralisme-politique/Pendant-une-election" TargetMode="External"/><Relationship Id="rId23" Type="http://schemas.openxmlformats.org/officeDocument/2006/relationships/hyperlink" Target="https://www.interieur.gouv.fr/content/download/120533/966790/file/guide-elections-municipales-communautaires-2020-communes-de-moins-de-1000-habitants-09-01.pdf" TargetMode="External"/><Relationship Id="rId28" Type="http://schemas.openxmlformats.org/officeDocument/2006/relationships/hyperlink" Target="https://www.vie-publique.fr/eclairage/24056-municipales-2020-les-regles-de-la-campagne-electorale" TargetMode="External"/><Relationship Id="rId36" Type="http://schemas.openxmlformats.org/officeDocument/2006/relationships/hyperlink" Target="https://www.cnil.fr/fr/vie-politique-et-citoyenne" TargetMode="External"/><Relationship Id="rId49" Type="http://schemas.openxmlformats.org/officeDocument/2006/relationships/hyperlink" Target="https://www.legifrance.gouv.fr/affichTexteArticle.do?cidTexte=JORFTEXT000023492991&amp;idArticle=JORFARTI000023493000&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278563-D1FE-49D5-A0FD-DA82858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20879</Words>
  <Characters>119735</Characters>
  <Application>Microsoft Office Word</Application>
  <DocSecurity>0</DocSecurity>
  <Lines>997</Lines>
  <Paragraphs>280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x</cp:lastModifiedBy>
  <cp:revision>5</cp:revision>
  <dcterms:created xsi:type="dcterms:W3CDTF">2020-02-20T18:02:00Z</dcterms:created>
  <dcterms:modified xsi:type="dcterms:W3CDTF">2020-02-25T12:03:00Z</dcterms:modified>
</cp:coreProperties>
</file>