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13084F" w:rsidP="00B041D4">
      <w:pPr>
        <w:jc w:val="center"/>
      </w:pPr>
      <w:r>
        <w:rPr>
          <w:noProof/>
          <w:lang w:eastAsia="fr-FR"/>
        </w:rPr>
        <w:drawing>
          <wp:inline distT="0" distB="0" distL="0" distR="0">
            <wp:extent cx="30099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314450"/>
                    </a:xfrm>
                    <a:prstGeom prst="rect">
                      <a:avLst/>
                    </a:prstGeom>
                    <a:noFill/>
                    <a:ln>
                      <a:noFill/>
                    </a:ln>
                  </pic:spPr>
                </pic:pic>
              </a:graphicData>
            </a:graphic>
          </wp:inline>
        </w:drawing>
      </w:r>
    </w:p>
    <w:p w:rsidR="00B041D4" w:rsidRPr="002F07B5" w:rsidRDefault="00B041D4" w:rsidP="00B041D4">
      <w:pPr>
        <w:jc w:val="center"/>
        <w:rPr>
          <w:b/>
          <w:sz w:val="28"/>
          <w:szCs w:val="28"/>
        </w:rPr>
      </w:pPr>
      <w:r w:rsidRPr="002F07B5">
        <w:rPr>
          <w:b/>
          <w:sz w:val="28"/>
          <w:szCs w:val="28"/>
        </w:rPr>
        <w:t>Master 2 Affaires publiques/administration du politique</w:t>
      </w:r>
    </w:p>
    <w:p w:rsidR="00503619" w:rsidRPr="00F04826" w:rsidRDefault="003A0249" w:rsidP="00C56185">
      <w:pPr>
        <w:tabs>
          <w:tab w:val="left" w:pos="7371"/>
        </w:tabs>
        <w:rPr>
          <w:sz w:val="32"/>
          <w:szCs w:val="32"/>
        </w:rPr>
      </w:pPr>
      <w:r w:rsidRPr="00F04826">
        <w:rPr>
          <w:sz w:val="32"/>
          <w:szCs w:val="32"/>
        </w:rPr>
        <w:tab/>
      </w:r>
      <w:r w:rsidR="00C56185">
        <w:rPr>
          <w:sz w:val="32"/>
          <w:szCs w:val="32"/>
        </w:rPr>
        <w:t xml:space="preserve">Lundi </w:t>
      </w:r>
      <w:r w:rsidR="00015956">
        <w:rPr>
          <w:sz w:val="32"/>
          <w:szCs w:val="32"/>
        </w:rPr>
        <w:t>4</w:t>
      </w:r>
      <w:r w:rsidR="0098062C">
        <w:rPr>
          <w:sz w:val="32"/>
          <w:szCs w:val="32"/>
        </w:rPr>
        <w:t xml:space="preserve"> </w:t>
      </w:r>
      <w:r w:rsidR="0059279C">
        <w:rPr>
          <w:sz w:val="32"/>
          <w:szCs w:val="32"/>
        </w:rPr>
        <w:t>mars 202</w:t>
      </w:r>
      <w:r w:rsidR="00015956">
        <w:rPr>
          <w:sz w:val="32"/>
          <w:szCs w:val="32"/>
        </w:rPr>
        <w:t>4</w:t>
      </w:r>
    </w:p>
    <w:p w:rsidR="003A0249" w:rsidRPr="00F04826" w:rsidRDefault="003A0249">
      <w:pPr>
        <w:rPr>
          <w:sz w:val="32"/>
          <w:szCs w:val="32"/>
        </w:rPr>
      </w:pPr>
    </w:p>
    <w:p w:rsidR="003A0249" w:rsidRPr="00F04826" w:rsidRDefault="00C52539">
      <w:pPr>
        <w:rPr>
          <w:sz w:val="32"/>
          <w:szCs w:val="32"/>
        </w:rPr>
      </w:pPr>
      <w:r>
        <w:rPr>
          <w:sz w:val="32"/>
          <w:szCs w:val="32"/>
        </w:rPr>
        <w:t>Pratiques des élections - Contentieux</w:t>
      </w:r>
      <w:r w:rsidR="003A0249" w:rsidRPr="00F04826">
        <w:rPr>
          <w:sz w:val="32"/>
          <w:szCs w:val="32"/>
        </w:rPr>
        <w:t>.</w:t>
      </w:r>
    </w:p>
    <w:p w:rsidR="003A0249" w:rsidRDefault="003A0249">
      <w:r>
        <w:t xml:space="preserve">Stéphane Cottin, </w:t>
      </w:r>
      <w:r w:rsidR="00D2709A">
        <w:t>chef du service de la documentation et de l’aide à l’instruction du Conseil constitutionnel</w:t>
      </w:r>
    </w:p>
    <w:p w:rsidR="003A024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roofErr w:type="spellStart"/>
      <w:r w:rsidR="0098062C">
        <w:rPr>
          <w:lang w:val="en-GB"/>
        </w:rPr>
        <w:t>ou</w:t>
      </w:r>
      <w:proofErr w:type="spellEnd"/>
      <w:r w:rsidR="0098062C">
        <w:rPr>
          <w:lang w:val="en-GB"/>
        </w:rPr>
        <w:t xml:space="preserve"> </w:t>
      </w:r>
      <w:hyperlink r:id="rId7" w:history="1">
        <w:r w:rsidR="0098062C" w:rsidRPr="00F76A71">
          <w:rPr>
            <w:rStyle w:val="Lienhypertexte"/>
            <w:lang w:val="en-GB"/>
          </w:rPr>
          <w:t>stephane.cottin@conseil-constitutionnel.fr</w:t>
        </w:r>
      </w:hyperlink>
      <w:r w:rsidR="0098062C">
        <w:rPr>
          <w:lang w:val="en-GB"/>
        </w:rPr>
        <w:t xml:space="preserve"> </w:t>
      </w:r>
    </w:p>
    <w:p w:rsidR="0098062C" w:rsidRPr="00F04399" w:rsidRDefault="0098062C" w:rsidP="0098062C">
      <w:pPr>
        <w:rPr>
          <w:lang w:val="en-GB"/>
        </w:rPr>
      </w:pPr>
      <w:proofErr w:type="spellStart"/>
      <w:r>
        <w:rPr>
          <w:lang w:val="en-GB"/>
        </w:rPr>
        <w:t>Comptes</w:t>
      </w:r>
      <w:proofErr w:type="spellEnd"/>
      <w:r>
        <w:rPr>
          <w:lang w:val="en-GB"/>
        </w:rPr>
        <w:t xml:space="preserve"> </w:t>
      </w:r>
      <w:proofErr w:type="gramStart"/>
      <w:r>
        <w:rPr>
          <w:lang w:val="en-GB"/>
        </w:rPr>
        <w:t>twitter :</w:t>
      </w:r>
      <w:proofErr w:type="gramEnd"/>
      <w:r>
        <w:rPr>
          <w:lang w:val="en-GB"/>
        </w:rPr>
        <w:t xml:space="preserve"> @</w:t>
      </w:r>
      <w:proofErr w:type="spellStart"/>
      <w:r>
        <w:rPr>
          <w:lang w:val="en-GB"/>
        </w:rPr>
        <w:t>droitelectoral</w:t>
      </w:r>
      <w:proofErr w:type="spellEnd"/>
      <w:r>
        <w:rPr>
          <w:lang w:val="en-GB"/>
        </w:rPr>
        <w:t xml:space="preserve"> / @</w:t>
      </w:r>
      <w:proofErr w:type="spellStart"/>
      <w:r>
        <w:rPr>
          <w:lang w:val="en-GB"/>
        </w:rPr>
        <w:t>cottinstef</w:t>
      </w:r>
      <w:proofErr w:type="spellEnd"/>
    </w:p>
    <w:p w:rsidR="003A0249" w:rsidRPr="00F0439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8" w:history="1">
        <w:r w:rsidRPr="009F44C2">
          <w:rPr>
            <w:rStyle w:val="Lienhypertexte"/>
            <w:sz w:val="44"/>
            <w:szCs w:val="44"/>
            <w:lang w:val="en-GB"/>
          </w:rPr>
          <w:t>http://www.electoral.fr</w:t>
        </w:r>
      </w:hyperlink>
      <w:r>
        <w:rPr>
          <w:sz w:val="44"/>
          <w:szCs w:val="44"/>
          <w:lang w:val="en-GB"/>
        </w:rPr>
        <w:t xml:space="preserve"> </w:t>
      </w:r>
    </w:p>
    <w:p w:rsidR="00B041D4" w:rsidRDefault="00B041D4" w:rsidP="00B041D4">
      <w:pPr>
        <w:pStyle w:val="Titre2"/>
      </w:pPr>
      <w:r>
        <w:rPr>
          <w:rStyle w:val="mw-headline"/>
        </w:rPr>
        <w:t>Description et Spécificités de la matière</w:t>
      </w:r>
    </w:p>
    <w:p w:rsidR="00B041D4" w:rsidRDefault="00B041D4" w:rsidP="00B041D4">
      <w:pPr>
        <w:pStyle w:val="Titre2"/>
        <w:spacing w:after="0" w:afterAutospacing="0"/>
      </w:pPr>
      <w:bookmarkStart w:id="0" w:name="Annonce_de_la_m.C3.A9thode"/>
      <w:bookmarkEnd w:id="0"/>
      <w:r>
        <w:rPr>
          <w:rStyle w:val="mw-headline"/>
        </w:rPr>
        <w:t>Annonce de la méthode</w:t>
      </w:r>
    </w:p>
    <w:p w:rsidR="00B041D4" w:rsidRDefault="00B041D4" w:rsidP="00B041D4">
      <w:pPr>
        <w:pStyle w:val="NormalWeb"/>
        <w:spacing w:before="0" w:beforeAutospacing="0"/>
      </w:pPr>
      <w:r>
        <w:t xml:space="preserve">A partir de la 2e semaine et pendant les 5 séances qui restent : 2 ou 3 Exposés de 10 mn (5 mn d'exposé, 5 mn de question) sur un sujet connexe au cours du jour </w:t>
      </w:r>
    </w:p>
    <w:p w:rsidR="00B041D4" w:rsidRDefault="00B041D4" w:rsidP="00B041D4">
      <w:pPr>
        <w:pStyle w:val="Titre2"/>
      </w:pPr>
      <w:bookmarkStart w:id="1" w:name="Plan_des_cours"/>
      <w:bookmarkEnd w:id="1"/>
      <w:r>
        <w:rPr>
          <w:rStyle w:val="editsection"/>
        </w:rPr>
        <w:t>P</w:t>
      </w:r>
      <w:r>
        <w:rPr>
          <w:rStyle w:val="mw-headline"/>
        </w:rPr>
        <w:t>lan du cours</w:t>
      </w:r>
    </w:p>
    <w:p w:rsidR="00B041D4" w:rsidRPr="00F04826" w:rsidRDefault="00B041D4" w:rsidP="00B041D4">
      <w:pPr>
        <w:pStyle w:val="NormalWeb"/>
        <w:spacing w:before="0" w:beforeAutospacing="0" w:after="0" w:afterAutospacing="0"/>
        <w:rPr>
          <w:u w:val="single"/>
        </w:rPr>
      </w:pPr>
      <w:r w:rsidRPr="00F04826">
        <w:rPr>
          <w:u w:val="single"/>
        </w:rPr>
        <w:t xml:space="preserve">Actualités du droit électoral, les modifications en cours </w:t>
      </w:r>
    </w:p>
    <w:p w:rsidR="00B041D4" w:rsidRDefault="00B041D4" w:rsidP="00B041D4">
      <w:pPr>
        <w:numPr>
          <w:ilvl w:val="0"/>
          <w:numId w:val="1"/>
        </w:numPr>
        <w:spacing w:before="100" w:beforeAutospacing="1" w:after="100" w:afterAutospacing="1"/>
      </w:pPr>
      <w:proofErr w:type="gramStart"/>
      <w:r>
        <w:t>les</w:t>
      </w:r>
      <w:proofErr w:type="gramEnd"/>
      <w:r>
        <w:t xml:space="preserve"> projets dans les cartons : recodification, refonte du droit de l'inéligibilité,</w:t>
      </w:r>
      <w:r w:rsidR="008402E7">
        <w:t xml:space="preserve"> vote anticipée, débats sur l’abstention</w:t>
      </w:r>
      <w:r>
        <w:t xml:space="preserve">... </w:t>
      </w:r>
    </w:p>
    <w:p w:rsidR="00B041D4" w:rsidRPr="00F04826" w:rsidRDefault="00B041D4" w:rsidP="00B041D4">
      <w:pPr>
        <w:pStyle w:val="NormalWeb"/>
        <w:spacing w:after="0" w:afterAutospacing="0"/>
        <w:rPr>
          <w:u w:val="single"/>
        </w:rPr>
      </w:pPr>
      <w:r w:rsidRPr="00F04826">
        <w:rPr>
          <w:u w:val="single"/>
        </w:rPr>
        <w:t xml:space="preserve">Sujets à développer : </w:t>
      </w:r>
    </w:p>
    <w:p w:rsidR="00B041D4" w:rsidRDefault="00B041D4" w:rsidP="00B041D4">
      <w:pPr>
        <w:pStyle w:val="NormalWeb"/>
        <w:numPr>
          <w:ilvl w:val="0"/>
          <w:numId w:val="11"/>
        </w:numPr>
        <w:spacing w:before="0" w:beforeAutospacing="0"/>
        <w:ind w:left="714" w:hanging="357"/>
      </w:pPr>
      <w:r>
        <w:t>La personne, le citoyen, l'électeur, l'inscrit, le votant... le candidat, l'élu (cours n° 2 : l’inscription sur les listes électorales)</w:t>
      </w:r>
    </w:p>
    <w:p w:rsidR="00B041D4" w:rsidRDefault="00B041D4" w:rsidP="00B041D4">
      <w:pPr>
        <w:pStyle w:val="NormalWeb"/>
        <w:numPr>
          <w:ilvl w:val="0"/>
          <w:numId w:val="11"/>
        </w:numPr>
      </w:pPr>
      <w:r>
        <w:t xml:space="preserve">Les modes de scrutin </w:t>
      </w:r>
    </w:p>
    <w:p w:rsidR="00B041D4" w:rsidRDefault="00B041D4" w:rsidP="00B041D4">
      <w:pPr>
        <w:pStyle w:val="NormalWeb"/>
        <w:numPr>
          <w:ilvl w:val="0"/>
          <w:numId w:val="11"/>
        </w:numPr>
      </w:pPr>
      <w:r>
        <w:t>L'organisation matérielle d'une élection (cours n° 3 : le dépouillement)</w:t>
      </w:r>
    </w:p>
    <w:p w:rsidR="00B041D4" w:rsidRDefault="00B041D4" w:rsidP="00B041D4">
      <w:pPr>
        <w:pStyle w:val="NormalWeb"/>
        <w:numPr>
          <w:ilvl w:val="0"/>
          <w:numId w:val="11"/>
        </w:numPr>
      </w:pPr>
      <w:r>
        <w:t>Le financement de la vie politique, le financement électoral  (cours n° 4)</w:t>
      </w:r>
    </w:p>
    <w:p w:rsidR="00B041D4" w:rsidRDefault="00B041D4" w:rsidP="00B041D4">
      <w:pPr>
        <w:numPr>
          <w:ilvl w:val="1"/>
          <w:numId w:val="11"/>
        </w:numPr>
        <w:spacing w:before="100" w:beforeAutospacing="1" w:after="100" w:afterAutospacing="1"/>
      </w:pPr>
      <w:r>
        <w:t xml:space="preserve">le coût d'une élection vu par les différents acteurs </w:t>
      </w:r>
    </w:p>
    <w:p w:rsidR="00B041D4" w:rsidRDefault="00B041D4" w:rsidP="00B041D4">
      <w:pPr>
        <w:numPr>
          <w:ilvl w:val="1"/>
          <w:numId w:val="11"/>
        </w:numPr>
        <w:spacing w:before="100" w:beforeAutospacing="1" w:after="100" w:afterAutospacing="1"/>
      </w:pPr>
      <w:r>
        <w:t xml:space="preserve">le rôle des mandataires </w:t>
      </w:r>
    </w:p>
    <w:p w:rsidR="00B041D4" w:rsidRDefault="00B041D4" w:rsidP="00B041D4">
      <w:pPr>
        <w:pStyle w:val="NormalWeb"/>
        <w:numPr>
          <w:ilvl w:val="0"/>
          <w:numId w:val="11"/>
        </w:numPr>
      </w:pPr>
      <w:r>
        <w:t>Le contentieux électoral / les contentieux électoraux  (cours n° 5 / 6)</w:t>
      </w:r>
    </w:p>
    <w:p w:rsidR="00B041D4" w:rsidRDefault="00B041D4" w:rsidP="00B041D4">
      <w:pPr>
        <w:numPr>
          <w:ilvl w:val="1"/>
          <w:numId w:val="11"/>
        </w:numPr>
        <w:spacing w:before="100" w:beforeAutospacing="1" w:after="100" w:afterAutospacing="1"/>
      </w:pPr>
      <w:r>
        <w:t xml:space="preserve">contentieux de l'inscription </w:t>
      </w:r>
    </w:p>
    <w:p w:rsidR="00B041D4" w:rsidRDefault="00B041D4" w:rsidP="00B041D4">
      <w:pPr>
        <w:numPr>
          <w:ilvl w:val="1"/>
          <w:numId w:val="11"/>
        </w:numPr>
        <w:spacing w:before="100" w:beforeAutospacing="1" w:after="100" w:afterAutospacing="1"/>
      </w:pPr>
      <w:r>
        <w:t xml:space="preserve">contentieux de la campagne </w:t>
      </w:r>
    </w:p>
    <w:p w:rsidR="00B041D4" w:rsidRDefault="00B041D4" w:rsidP="00B041D4">
      <w:pPr>
        <w:numPr>
          <w:ilvl w:val="1"/>
          <w:numId w:val="11"/>
        </w:numPr>
        <w:spacing w:before="100" w:beforeAutospacing="1" w:after="100" w:afterAutospacing="1"/>
      </w:pPr>
      <w:r>
        <w:t xml:space="preserve">contentieux du scrutin </w:t>
      </w:r>
    </w:p>
    <w:p w:rsidR="00B041D4" w:rsidRDefault="00B041D4" w:rsidP="00B041D4">
      <w:pPr>
        <w:numPr>
          <w:ilvl w:val="1"/>
          <w:numId w:val="11"/>
        </w:numPr>
        <w:spacing w:before="100" w:beforeAutospacing="1" w:after="100" w:afterAutospacing="1"/>
      </w:pPr>
      <w:r>
        <w:t xml:space="preserve">contentieux du dépouillement et des résultats </w:t>
      </w:r>
    </w:p>
    <w:p w:rsidR="00B041D4" w:rsidRDefault="00B041D4" w:rsidP="00B041D4">
      <w:pPr>
        <w:numPr>
          <w:ilvl w:val="1"/>
          <w:numId w:val="11"/>
        </w:numPr>
        <w:spacing w:before="100" w:beforeAutospacing="1" w:after="100" w:afterAutospacing="1"/>
      </w:pPr>
      <w:r>
        <w:t xml:space="preserve">contentieux du financement et/ou du compte de campagne </w:t>
      </w:r>
    </w:p>
    <w:p w:rsidR="00B041D4" w:rsidRDefault="00B041D4" w:rsidP="00B041D4">
      <w:pPr>
        <w:numPr>
          <w:ilvl w:val="1"/>
          <w:numId w:val="11"/>
        </w:numPr>
        <w:spacing w:before="100" w:beforeAutospacing="1" w:after="100" w:afterAutospacing="1"/>
      </w:pPr>
      <w:r>
        <w:t xml:space="preserve">contentieux de l'inéligibilité ou de l'incompatibilité post-électorale </w:t>
      </w:r>
    </w:p>
    <w:p w:rsidR="00B041D4" w:rsidRDefault="00B041D4" w:rsidP="00B041D4">
      <w:pPr>
        <w:pStyle w:val="NormalWeb"/>
        <w:numPr>
          <w:ilvl w:val="0"/>
          <w:numId w:val="11"/>
        </w:numPr>
      </w:pPr>
      <w:r>
        <w:t xml:space="preserve">La multiplicité des juges et des juridictions </w:t>
      </w:r>
    </w:p>
    <w:p w:rsidR="00B041D4" w:rsidRDefault="00B041D4" w:rsidP="00B041D4">
      <w:pPr>
        <w:pStyle w:val="NormalWeb"/>
        <w:numPr>
          <w:ilvl w:val="0"/>
          <w:numId w:val="10"/>
        </w:numPr>
        <w:spacing w:before="60" w:beforeAutospacing="0"/>
      </w:pPr>
      <w:r>
        <w:rPr>
          <w:sz w:val="36"/>
          <w:szCs w:val="36"/>
        </w:rPr>
        <w:br w:type="page"/>
      </w:r>
      <w:r>
        <w:lastRenderedPageBreak/>
        <w:t>Exemples d'exposés : un exposé de 10 mn (maximum) est à réaliser par chaque 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20"/>
      </w:tblGrid>
      <w:tr w:rsidR="00B041D4" w:rsidTr="00C9300A">
        <w:tc>
          <w:tcPr>
            <w:tcW w:w="2660" w:type="dxa"/>
            <w:shd w:val="clear" w:color="auto" w:fill="auto"/>
          </w:tcPr>
          <w:p w:rsidR="00B041D4" w:rsidRDefault="00B041D4" w:rsidP="00CA28F5">
            <w:pPr>
              <w:pStyle w:val="NormalWeb"/>
              <w:spacing w:before="60" w:beforeAutospacing="0" w:line="400" w:lineRule="exact"/>
            </w:pPr>
            <w:r>
              <w:t>2. Les inscriptions, les listes</w:t>
            </w:r>
          </w:p>
          <w:p w:rsidR="00B041D4" w:rsidRDefault="00015956" w:rsidP="00015956">
            <w:pPr>
              <w:pStyle w:val="NormalWeb"/>
              <w:spacing w:before="60" w:beforeAutospacing="0" w:line="400" w:lineRule="exact"/>
            </w:pPr>
            <w:r>
              <w:t>8</w:t>
            </w:r>
            <w:r w:rsidR="0098062C">
              <w:t xml:space="preserve"> </w:t>
            </w:r>
            <w:r w:rsidR="002D4316">
              <w:t>avril</w:t>
            </w:r>
            <w:r w:rsidR="0059279C">
              <w:t xml:space="preserve"> </w:t>
            </w:r>
            <w:r w:rsidR="002D4316">
              <w:t>202</w:t>
            </w:r>
            <w:r>
              <w:t>4</w:t>
            </w:r>
            <w:r w:rsidR="002D4316">
              <w:t xml:space="preserve"> </w:t>
            </w:r>
            <w:r w:rsidR="0059279C">
              <w:t>10h</w:t>
            </w:r>
          </w:p>
        </w:tc>
        <w:tc>
          <w:tcPr>
            <w:tcW w:w="7946" w:type="dxa"/>
            <w:shd w:val="clear" w:color="auto" w:fill="auto"/>
          </w:tcPr>
          <w:p w:rsidR="00C56185" w:rsidRDefault="00B041D4" w:rsidP="00C56185">
            <w:pPr>
              <w:pStyle w:val="NormalWeb"/>
              <w:spacing w:before="0" w:beforeAutospacing="0" w:after="90" w:afterAutospacing="0"/>
            </w:pPr>
            <w:r>
              <w:t xml:space="preserve">* </w:t>
            </w:r>
            <w:hyperlink r:id="rId9" w:history="1">
              <w:r>
                <w:rPr>
                  <w:rStyle w:val="Lienhypertexte"/>
                </w:rPr>
                <w:t>La réutilisation commerciale des listes électorales</w:t>
              </w:r>
            </w:hyperlink>
            <w:r>
              <w:br/>
              <w:t xml:space="preserve">* </w:t>
            </w:r>
            <w:hyperlink r:id="rId10" w:history="1">
              <w:r>
                <w:rPr>
                  <w:rStyle w:val="Lienhypertexte"/>
                </w:rPr>
                <w:t>La constitution du bureau de vote</w:t>
              </w:r>
            </w:hyperlink>
            <w:r>
              <w:br/>
              <w:t>* Les différentes listes électorales</w:t>
            </w:r>
            <w:r>
              <w:br/>
              <w:t xml:space="preserve">* Les candidatures atypiques (voir aussi </w:t>
            </w:r>
            <w:hyperlink r:id="rId11" w:history="1">
              <w:r>
                <w:rPr>
                  <w:rStyle w:val="Lienhypertexte"/>
                </w:rPr>
                <w:t>les requérants d'habitude</w:t>
              </w:r>
            </w:hyperlink>
            <w:r>
              <w:t>)</w:t>
            </w:r>
            <w:r>
              <w:br/>
              <w:t>* Les « primaires », les investitures</w:t>
            </w:r>
            <w:r>
              <w:br/>
              <w:t>* Les inscriptions atypiques (étrangers, forains, français de l'étranger,…) : voir les contentieux de l'inscription</w:t>
            </w:r>
          </w:p>
          <w:p w:rsidR="00783D7A" w:rsidRDefault="00C56185" w:rsidP="00C56185">
            <w:pPr>
              <w:pStyle w:val="NormalWeb"/>
              <w:spacing w:before="0" w:beforeAutospacing="0" w:after="90" w:afterAutospacing="0"/>
            </w:pPr>
            <w:r>
              <w:t>* Abstention et pandémie</w:t>
            </w:r>
            <w:r w:rsidR="00783D7A">
              <w:br/>
              <w:t>* La liste électorale unique</w:t>
            </w:r>
            <w:r w:rsidR="00783D7A">
              <w:br/>
              <w:t xml:space="preserve">* Qui </w:t>
            </w:r>
            <w:r>
              <w:t>vote</w:t>
            </w:r>
            <w:r w:rsidR="00783D7A">
              <w:t xml:space="preserve"> au référendum pour l'autodétermination de la Nouvelle-Calédonie</w:t>
            </w:r>
            <w:r w:rsidR="00783D7A">
              <w:br/>
              <w:t xml:space="preserve">* </w:t>
            </w:r>
            <w:r w:rsidR="00783D7A" w:rsidRPr="00546F6C">
              <w:t>Le Pacte de New York</w:t>
            </w:r>
            <w:r w:rsidR="00546F6C" w:rsidRPr="00546F6C">
              <w:t xml:space="preserve"> ou </w:t>
            </w:r>
            <w:r w:rsidR="00546F6C" w:rsidRPr="00546F6C">
              <w:rPr>
                <w:bCs/>
              </w:rPr>
              <w:t>pacte international relatif aux droits civils et politiques</w:t>
            </w:r>
            <w:r w:rsidR="00546F6C" w:rsidRPr="00546F6C">
              <w:t xml:space="preserve"> (PIDCP)</w:t>
            </w:r>
            <w:r w:rsidR="00546F6C">
              <w:t xml:space="preserve"> 1966</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3. Le dépouillement</w:t>
            </w:r>
          </w:p>
          <w:p w:rsidR="00B041D4" w:rsidRDefault="00015956" w:rsidP="00015956">
            <w:pPr>
              <w:pStyle w:val="NormalWeb"/>
              <w:spacing w:before="60" w:beforeAutospacing="0" w:line="400" w:lineRule="exact"/>
            </w:pPr>
            <w:r>
              <w:t>8</w:t>
            </w:r>
            <w:r w:rsidR="0059279C">
              <w:t xml:space="preserve"> avril 202</w:t>
            </w:r>
            <w:r>
              <w:t>4</w:t>
            </w:r>
            <w:r w:rsidR="0059279C">
              <w:t xml:space="preserve"> 14h</w:t>
            </w:r>
          </w:p>
        </w:tc>
        <w:tc>
          <w:tcPr>
            <w:tcW w:w="7946" w:type="dxa"/>
            <w:shd w:val="clear" w:color="auto" w:fill="auto"/>
          </w:tcPr>
          <w:p w:rsidR="00B041D4" w:rsidRDefault="00B041D4" w:rsidP="00C9300A">
            <w:pPr>
              <w:pStyle w:val="NormalWeb"/>
              <w:spacing w:before="0" w:beforeAutospacing="0" w:after="90" w:afterAutospacing="0"/>
            </w:pPr>
            <w:r>
              <w:t>* Les contentieux liés aux procurations</w:t>
            </w:r>
            <w:r w:rsidR="003547B1">
              <w:br/>
              <w:t>* Vote et handicap</w:t>
            </w:r>
            <w:r>
              <w:br/>
              <w:t xml:space="preserve">* </w:t>
            </w:r>
            <w:hyperlink r:id="rId12" w:history="1">
              <w:r>
                <w:rPr>
                  <w:rStyle w:val="Lienhypertexte"/>
                </w:rPr>
                <w:t>Le vote blanc, les bulletins blancs</w:t>
              </w:r>
            </w:hyperlink>
            <w:r>
              <w:t>, les votes nuls</w:t>
            </w:r>
            <w:r>
              <w:br/>
              <w:t xml:space="preserve">* </w:t>
            </w:r>
            <w:hyperlink r:id="rId13" w:history="1">
              <w:r>
                <w:rPr>
                  <w:rStyle w:val="Lienhypertexte"/>
                </w:rPr>
                <w:t>L’agencement du bureau de vote</w:t>
              </w:r>
            </w:hyperlink>
            <w:r>
              <w:br/>
              <w:t xml:space="preserve">* </w:t>
            </w:r>
            <w:hyperlink r:id="rId14" w:history="1">
              <w:r>
                <w:rPr>
                  <w:rStyle w:val="Lienhypertexte"/>
                </w:rPr>
                <w:t>Les machines à voter</w:t>
              </w:r>
            </w:hyperlink>
            <w:r>
              <w:br/>
              <w:t>* Le vote par Internet</w:t>
            </w:r>
            <w:r>
              <w:br/>
            </w:r>
            <w:r w:rsidR="003547B1">
              <w:t>* Les mathématiques du vote</w:t>
            </w:r>
            <w:r w:rsidR="007E5F0E">
              <w:br/>
              <w:t>* Propagande électorale et intelligence artificielle</w:t>
            </w:r>
            <w:r w:rsidR="003547B1">
              <w:br/>
            </w:r>
            <w:r>
              <w:t>* Aspects comparés internationaux (et/ou historiques) des modes de scrutin</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4. Le financement de la vie politique</w:t>
            </w:r>
          </w:p>
          <w:p w:rsidR="00B041D4" w:rsidRDefault="00015956" w:rsidP="0098062C">
            <w:pPr>
              <w:pStyle w:val="NormalWeb"/>
              <w:spacing w:before="60" w:beforeAutospacing="0" w:line="400" w:lineRule="exact"/>
            </w:pPr>
            <w:r>
              <w:t>8 avril 2024 16</w:t>
            </w:r>
            <w:r w:rsidR="0059279C">
              <w:t>h</w:t>
            </w:r>
            <w:r>
              <w:t>15</w:t>
            </w:r>
          </w:p>
        </w:tc>
        <w:tc>
          <w:tcPr>
            <w:tcW w:w="7946" w:type="dxa"/>
            <w:shd w:val="clear" w:color="auto" w:fill="auto"/>
          </w:tcPr>
          <w:p w:rsidR="00B041D4" w:rsidRDefault="00B041D4" w:rsidP="002D4316">
            <w:pPr>
              <w:pStyle w:val="NormalWeb"/>
              <w:spacing w:before="0" w:beforeAutospacing="0" w:after="90" w:afterAutospacing="0"/>
            </w:pPr>
            <w:r>
              <w:t xml:space="preserve">* L’évolution du coût des élections (aspects </w:t>
            </w:r>
            <w:proofErr w:type="spellStart"/>
            <w:r>
              <w:t>Lolf</w:t>
            </w:r>
            <w:proofErr w:type="spellEnd"/>
            <w:r>
              <w:t>)</w:t>
            </w:r>
            <w:r>
              <w:br/>
              <w:t xml:space="preserve">* </w:t>
            </w:r>
            <w:r w:rsidR="003547B1">
              <w:t>L</w:t>
            </w:r>
            <w:r>
              <w:t xml:space="preserve">e coût d’une élection vu par les différents acteurs </w:t>
            </w:r>
            <w:r>
              <w:br/>
              <w:t>* Financement électoral et mandataire financier</w:t>
            </w:r>
            <w:r>
              <w:br/>
              <w:t>* Les rôles comparés des différentes AAI :  CNC</w:t>
            </w:r>
            <w:r w:rsidR="00C9300A">
              <w:t xml:space="preserve"> (</w:t>
            </w:r>
            <w:proofErr w:type="spellStart"/>
            <w:r w:rsidR="00C9300A">
              <w:t>ep</w:t>
            </w:r>
            <w:proofErr w:type="spellEnd"/>
            <w:r w:rsidR="00C9300A">
              <w:t>)</w:t>
            </w:r>
            <w:r>
              <w:t>, CNCCFP, l'ex CTFVP, devenue HATVP</w:t>
            </w:r>
            <w:r w:rsidR="002D4316">
              <w:t>, ARCOM (ex CSA)</w:t>
            </w:r>
            <w:r>
              <w:t>, des juges des élections, des juges (civils, pénaux, administratifs, financiers)</w:t>
            </w:r>
            <w:r>
              <w:br/>
              <w:t>* le(s) rôle(s) des mandataires (les différents mandataires)</w:t>
            </w:r>
            <w:r>
              <w:br/>
              <w:t>* les risques financiers / le remboursement des frais</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 xml:space="preserve">5 / </w:t>
            </w:r>
            <w:proofErr w:type="gramStart"/>
            <w:r>
              <w:t>6 .</w:t>
            </w:r>
            <w:proofErr w:type="gramEnd"/>
            <w:r>
              <w:t xml:space="preserve"> Les contentieux</w:t>
            </w:r>
          </w:p>
          <w:p w:rsidR="00B041D4" w:rsidRDefault="00015956" w:rsidP="00CA28F5">
            <w:pPr>
              <w:pStyle w:val="NormalWeb"/>
              <w:spacing w:before="60" w:beforeAutospacing="0" w:line="400" w:lineRule="exact"/>
            </w:pPr>
            <w:r>
              <w:t>13</w:t>
            </w:r>
            <w:r w:rsidR="0059279C">
              <w:t xml:space="preserve"> mai 202</w:t>
            </w:r>
            <w:r>
              <w:t>4</w:t>
            </w:r>
            <w:r w:rsidR="0059279C">
              <w:t xml:space="preserve"> </w:t>
            </w:r>
            <w:r>
              <w:t>14h</w:t>
            </w:r>
          </w:p>
          <w:p w:rsidR="00B041D4" w:rsidRDefault="00015956" w:rsidP="00C56185">
            <w:pPr>
              <w:pStyle w:val="NormalWeb"/>
              <w:spacing w:before="60" w:beforeAutospacing="0" w:line="400" w:lineRule="exact"/>
            </w:pPr>
            <w:r>
              <w:t xml:space="preserve">13 mai 2024 </w:t>
            </w:r>
            <w:r w:rsidR="002D4316">
              <w:t>16</w:t>
            </w:r>
            <w:r w:rsidR="0059279C">
              <w:t>h</w:t>
            </w:r>
            <w:r w:rsidR="002D4316">
              <w:t>15</w:t>
            </w:r>
          </w:p>
        </w:tc>
        <w:tc>
          <w:tcPr>
            <w:tcW w:w="7946" w:type="dxa"/>
            <w:shd w:val="clear" w:color="auto" w:fill="auto"/>
          </w:tcPr>
          <w:p w:rsidR="00B041D4" w:rsidRDefault="00B041D4" w:rsidP="00783D7A">
            <w:pPr>
              <w:pStyle w:val="NormalWeb"/>
              <w:spacing w:before="0" w:beforeAutospacing="0" w:after="90" w:afterAutospacing="0"/>
            </w:pPr>
            <w:r>
              <w:t>* contentieux de l’inscription</w:t>
            </w:r>
            <w:r>
              <w:br/>
              <w:t>* contentieux de la campagne</w:t>
            </w:r>
            <w:r>
              <w:br/>
              <w:t>* contentieux du scrutin</w:t>
            </w:r>
            <w:r>
              <w:br/>
              <w:t>* contentieux du dépouillement et des résultats</w:t>
            </w:r>
            <w:r>
              <w:br/>
              <w:t>* contentieux du financement et/ou du compte de campagne / contentieux du remboursement</w:t>
            </w:r>
            <w:r>
              <w:br/>
              <w:t>* contentieux de l’inéligibilité ou de l’incompatibilité post-électorale</w:t>
            </w:r>
            <w:r>
              <w:br/>
            </w:r>
            <w:r w:rsidR="003547B1">
              <w:t>* Analyse d'une décision récente</w:t>
            </w:r>
            <w:r w:rsidR="003547B1">
              <w:br/>
            </w:r>
            <w:r>
              <w:t>* Les communes sans candidat – sans habitants</w:t>
            </w:r>
            <w:r>
              <w:br/>
              <w:t>* La parité (impacts électoraux, financiers, sociologiques…)</w:t>
            </w:r>
            <w:r>
              <w:br/>
              <w:t>* la multiplicité des juges et des juridictions</w:t>
            </w:r>
            <w:r>
              <w:br/>
              <w:t>* les amendes du code électoral / le droit pénal électoral</w:t>
            </w:r>
          </w:p>
        </w:tc>
      </w:tr>
    </w:tbl>
    <w:p w:rsidR="003547B1" w:rsidRDefault="003547B1" w:rsidP="00C9300A">
      <w:pPr>
        <w:pStyle w:val="NormalWeb"/>
        <w:spacing w:before="0" w:beforeAutospacing="0" w:after="0" w:afterAutospacing="0"/>
        <w:rPr>
          <w:sz w:val="36"/>
          <w:szCs w:val="36"/>
        </w:rPr>
      </w:pPr>
      <w:r>
        <w:rPr>
          <w:sz w:val="36"/>
          <w:szCs w:val="36"/>
        </w:rPr>
        <w:t xml:space="preserve">Annales du cours : </w:t>
      </w:r>
      <w:hyperlink r:id="rId15" w:history="1">
        <w:r w:rsidRPr="00FA5212">
          <w:rPr>
            <w:rStyle w:val="Lienhypertexte"/>
            <w:sz w:val="36"/>
            <w:szCs w:val="36"/>
          </w:rPr>
          <w:t>http://www.electoral.fr/?page_id=296</w:t>
        </w:r>
      </w:hyperlink>
      <w:r>
        <w:rPr>
          <w:sz w:val="36"/>
          <w:szCs w:val="36"/>
        </w:rPr>
        <w:t xml:space="preserve"> </w:t>
      </w:r>
    </w:p>
    <w:p w:rsidR="002C7342" w:rsidRDefault="003547B1" w:rsidP="00C9300A">
      <w:pPr>
        <w:pStyle w:val="NormalWeb"/>
        <w:spacing w:before="0" w:beforeAutospacing="0" w:after="0" w:afterAutospacing="0"/>
        <w:rPr>
          <w:sz w:val="28"/>
          <w:szCs w:val="36"/>
        </w:rPr>
      </w:pPr>
      <w:r w:rsidRPr="003547B1">
        <w:rPr>
          <w:sz w:val="28"/>
          <w:szCs w:val="36"/>
        </w:rPr>
        <w:t>Une question "de cours"</w:t>
      </w:r>
      <w:r>
        <w:rPr>
          <w:sz w:val="28"/>
          <w:szCs w:val="36"/>
        </w:rPr>
        <w:t xml:space="preserve">, généralement issue de la circulaire </w:t>
      </w:r>
      <w:r w:rsidR="0059279C">
        <w:rPr>
          <w:sz w:val="28"/>
          <w:szCs w:val="36"/>
        </w:rPr>
        <w:t xml:space="preserve">« déroulement des opérations électorales » </w:t>
      </w:r>
      <w:r>
        <w:rPr>
          <w:sz w:val="28"/>
          <w:szCs w:val="36"/>
        </w:rPr>
        <w:t xml:space="preserve">de </w:t>
      </w:r>
      <w:r w:rsidR="00C30221">
        <w:rPr>
          <w:sz w:val="28"/>
          <w:szCs w:val="36"/>
        </w:rPr>
        <w:t>mai 2022</w:t>
      </w:r>
      <w:r>
        <w:rPr>
          <w:sz w:val="28"/>
          <w:szCs w:val="36"/>
        </w:rPr>
        <w:t xml:space="preserve"> (ou de ses mises à jour) </w:t>
      </w:r>
      <w:r w:rsidR="002C7342">
        <w:rPr>
          <w:sz w:val="28"/>
          <w:szCs w:val="36"/>
        </w:rPr>
        <w:t>+ 2 petites questions de culture générale électorale + 1 qcm de 5 ou 6 questions.</w:t>
      </w:r>
    </w:p>
    <w:p w:rsidR="003A0249" w:rsidRPr="003A0249" w:rsidRDefault="00FE319D" w:rsidP="00F04826">
      <w:pPr>
        <w:pStyle w:val="NormalWeb"/>
        <w:spacing w:after="0" w:afterAutospacing="0"/>
        <w:rPr>
          <w:sz w:val="36"/>
          <w:szCs w:val="36"/>
        </w:rPr>
      </w:pPr>
      <w:hyperlink r:id="rId16" w:history="1">
        <w:r w:rsidR="00C30221" w:rsidRPr="00C30221">
          <w:rPr>
            <w:rStyle w:val="Lienhypertexte"/>
            <w:sz w:val="32"/>
            <w:highlight w:val="yellow"/>
          </w:rPr>
          <w:t>https://www.legifrance.gou</w:t>
        </w:r>
        <w:r w:rsidR="00C30221" w:rsidRPr="00C30221">
          <w:rPr>
            <w:rStyle w:val="Lienhypertexte"/>
            <w:sz w:val="32"/>
            <w:highlight w:val="yellow"/>
          </w:rPr>
          <w:t>v</w:t>
        </w:r>
        <w:r w:rsidR="00C30221" w:rsidRPr="00C30221">
          <w:rPr>
            <w:rStyle w:val="Lienhypertexte"/>
            <w:sz w:val="32"/>
            <w:highlight w:val="yellow"/>
          </w:rPr>
          <w:t>.fr/circulaire/id/45339</w:t>
        </w:r>
      </w:hyperlink>
      <w:r w:rsidR="00783D7A">
        <w:rPr>
          <w:sz w:val="36"/>
          <w:szCs w:val="36"/>
        </w:rPr>
        <w:br w:type="page"/>
      </w:r>
      <w:r w:rsidR="003A0249" w:rsidRPr="003A0249">
        <w:rPr>
          <w:sz w:val="36"/>
          <w:szCs w:val="36"/>
        </w:rPr>
        <w:lastRenderedPageBreak/>
        <w:t>Bibliographie</w:t>
      </w:r>
    </w:p>
    <w:p w:rsidR="00D76731" w:rsidRDefault="008402E7" w:rsidP="00D76731">
      <w:pPr>
        <w:pStyle w:val="NormalWeb"/>
        <w:spacing w:before="0" w:beforeAutospacing="0" w:after="0" w:afterAutospacing="0"/>
      </w:pPr>
      <w:r>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356235</wp:posOffset>
            </wp:positionV>
            <wp:extent cx="771525" cy="1162050"/>
            <wp:effectExtent l="0" t="0" r="9525" b="0"/>
            <wp:wrapTight wrapText="bothSides">
              <wp:wrapPolygon edited="0">
                <wp:start x="0" y="0"/>
                <wp:lineTo x="0" y="21246"/>
                <wp:lineTo x="21333" y="21246"/>
                <wp:lineTo x="2133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1162050"/>
                    </a:xfrm>
                    <a:prstGeom prst="rect">
                      <a:avLst/>
                    </a:prstGeom>
                  </pic:spPr>
                </pic:pic>
              </a:graphicData>
            </a:graphic>
            <wp14:sizeRelH relativeFrom="margin">
              <wp14:pctWidth>0</wp14:pctWidth>
            </wp14:sizeRelH>
            <wp14:sizeRelV relativeFrom="margin">
              <wp14:pctHeight>0</wp14:pctHeight>
            </wp14:sizeRelV>
          </wp:anchor>
        </w:drawing>
      </w:r>
      <w:r w:rsidR="00D76731">
        <w:t>(</w:t>
      </w:r>
      <w:proofErr w:type="gramStart"/>
      <w:r w:rsidR="00D76731">
        <w:t>v.</w:t>
      </w:r>
      <w:proofErr w:type="gramEnd"/>
      <w:r w:rsidR="00D76731">
        <w:t xml:space="preserve">  sur le contentieux spécifiquement : R. RAMBAUD et </w:t>
      </w:r>
      <w:proofErr w:type="spellStart"/>
      <w:r w:rsidR="00D76731">
        <w:t>alii</w:t>
      </w:r>
      <w:proofErr w:type="spellEnd"/>
      <w:r w:rsidR="00D76731">
        <w:t xml:space="preserve"> : le blog du droit électoral (site web : </w:t>
      </w:r>
      <w:hyperlink r:id="rId18" w:history="1">
        <w:r w:rsidR="00D76731">
          <w:rPr>
            <w:rStyle w:val="Lienhypertexte"/>
          </w:rPr>
          <w:t>https://blogdudroitelectoral.fr/</w:t>
        </w:r>
      </w:hyperlink>
      <w:r w:rsidR="00D76731">
        <w:t xml:space="preserve"> ). </w:t>
      </w:r>
    </w:p>
    <w:p w:rsidR="00D76731" w:rsidRDefault="00D76731" w:rsidP="00D76731">
      <w:pPr>
        <w:spacing w:after="100" w:afterAutospacing="1"/>
        <w:ind w:left="360"/>
      </w:pPr>
      <w:r>
        <w:rPr>
          <w:noProof/>
          <w:lang w:eastAsia="fr-FR"/>
        </w:rPr>
        <w:drawing>
          <wp:anchor distT="0" distB="0" distL="114300" distR="114300" simplePos="0" relativeHeight="251670528" behindDoc="0" locked="0" layoutInCell="1" allowOverlap="1" wp14:anchorId="08FB8403" wp14:editId="34041732">
            <wp:simplePos x="0" y="0"/>
            <wp:positionH relativeFrom="column">
              <wp:posOffset>5334000</wp:posOffset>
            </wp:positionH>
            <wp:positionV relativeFrom="paragraph">
              <wp:posOffset>418465</wp:posOffset>
            </wp:positionV>
            <wp:extent cx="958215" cy="134302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8215" cy="1343025"/>
                    </a:xfrm>
                    <a:prstGeom prst="rect">
                      <a:avLst/>
                    </a:prstGeom>
                  </pic:spPr>
                </pic:pic>
              </a:graphicData>
            </a:graphic>
            <wp14:sizeRelH relativeFrom="page">
              <wp14:pctWidth>0</wp14:pctWidth>
            </wp14:sizeRelH>
            <wp14:sizeRelV relativeFrom="page">
              <wp14:pctHeight>0</wp14:pctHeight>
            </wp14:sizeRelV>
          </wp:anchor>
        </w:drawing>
      </w:r>
      <w:r>
        <w:t xml:space="preserve">Page dédiée sur le site du Conseil d'État : </w:t>
      </w:r>
      <w:hyperlink r:id="rId20" w:history="1">
        <w:r>
          <w:rPr>
            <w:rStyle w:val="Lienhypertexte"/>
          </w:rPr>
          <w:t>https://www.conseil-etat.fr/ressources/etudes-publications/dossiers-thematiques/le-juge-administratif-et-le-droit-electoral</w:t>
        </w:r>
      </w:hyperlink>
    </w:p>
    <w:p w:rsidR="00D76731" w:rsidRDefault="00D76731" w:rsidP="00D76731">
      <w:pPr>
        <w:spacing w:after="100" w:afterAutospacing="1"/>
        <w:ind w:left="360"/>
      </w:pPr>
      <w:r>
        <w:t>Bureau de vote : mode d’emploi (mini format) Jean-Pierre Camby, Dalloz, 2019, 978-2247186907, 114 p.</w:t>
      </w:r>
      <w:r w:rsidRPr="00E863AB">
        <w:rPr>
          <w:noProof/>
          <w:lang w:eastAsia="fr-FR"/>
        </w:rPr>
        <w:t xml:space="preserve"> </w:t>
      </w:r>
    </w:p>
    <w:p w:rsidR="00D76731" w:rsidRDefault="00D76731" w:rsidP="00D76731">
      <w:pPr>
        <w:spacing w:after="100" w:afterAutospacing="1"/>
        <w:ind w:left="360"/>
      </w:pPr>
      <w:r>
        <w:t xml:space="preserve">Campagne électorale et élections locales, Dalloz Corpus,978-2-247-19360-8,  </w:t>
      </w:r>
      <w:r>
        <w:br/>
        <w:t xml:space="preserve">10/2019. 442 p. </w:t>
      </w:r>
    </w:p>
    <w:p w:rsidR="00D76731" w:rsidRDefault="00D76731" w:rsidP="00D76731">
      <w:pPr>
        <w:pStyle w:val="NormalWeb"/>
        <w:numPr>
          <w:ilvl w:val="0"/>
          <w:numId w:val="10"/>
        </w:numPr>
        <w:spacing w:after="0" w:afterAutospacing="0"/>
      </w:pPr>
      <w:r>
        <w:t xml:space="preserve"> Droit des élections et des référendums politiques, Romain Rambaud, LGDJ, Précis Domat, 978-2-275-05737-8, 09/2019, 744 p.</w:t>
      </w:r>
    </w:p>
    <w:p w:rsidR="00D76731" w:rsidRDefault="00D76731" w:rsidP="00D76731">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D76731" w:rsidRDefault="00D76731" w:rsidP="00D76731">
      <w:pPr>
        <w:numPr>
          <w:ilvl w:val="0"/>
          <w:numId w:val="10"/>
        </w:numPr>
        <w:spacing w:after="100" w:afterAutospacing="1"/>
        <w:ind w:left="714" w:hanging="357"/>
      </w:pPr>
      <w:r>
        <w:t xml:space="preserve">Droit et pratique des élections, Hervé Cauchois, </w:t>
      </w:r>
      <w:r w:rsidRPr="009A5822">
        <w:t>978-2701319247,</w:t>
      </w:r>
      <w:r>
        <w:t xml:space="preserve"> Berger-</w:t>
      </w:r>
      <w:proofErr w:type="spellStart"/>
      <w:r>
        <w:t>Levrault</w:t>
      </w:r>
      <w:proofErr w:type="spellEnd"/>
      <w:r>
        <w:t>, 2017, 400 p.</w:t>
      </w:r>
    </w:p>
    <w:p w:rsidR="00D76731" w:rsidRDefault="00D76731" w:rsidP="00D76731">
      <w:pPr>
        <w:numPr>
          <w:ilvl w:val="0"/>
          <w:numId w:val="10"/>
        </w:numPr>
        <w:spacing w:after="100" w:afterAutospacing="1"/>
        <w:ind w:left="714" w:hanging="357"/>
      </w:pPr>
      <w:r>
        <w:t>J.-P. CAMBY, Le Conseil constitutionnel, juge électoral, coll. Thèmes et commentaires, Dalloz 2017. </w:t>
      </w:r>
    </w:p>
    <w:p w:rsidR="00D76731" w:rsidRDefault="00D76731" w:rsidP="00D76731">
      <w:pPr>
        <w:numPr>
          <w:ilvl w:val="0"/>
          <w:numId w:val="10"/>
        </w:numPr>
        <w:spacing w:after="100" w:afterAutospacing="1"/>
        <w:ind w:left="714" w:hanging="357"/>
      </w:pPr>
      <w:r>
        <w:t>J. GRAND D'ESNON, P. BLANCHETIER, Le financement des campagnes électorales, LGDJ, 2019. </w:t>
      </w:r>
    </w:p>
    <w:p w:rsidR="00D76731" w:rsidRDefault="00D76731" w:rsidP="00D76731">
      <w:pPr>
        <w:numPr>
          <w:ilvl w:val="0"/>
          <w:numId w:val="10"/>
        </w:numPr>
        <w:spacing w:after="100" w:afterAutospacing="1"/>
        <w:ind w:left="714" w:hanging="357"/>
      </w:pPr>
      <w:r>
        <w:t>O. MAMOUDY. Le contentieux électoral, AJDA 2020. 217. </w:t>
      </w:r>
    </w:p>
    <w:p w:rsidR="00D76731" w:rsidRDefault="00D76731" w:rsidP="00D76731">
      <w:pPr>
        <w:numPr>
          <w:ilvl w:val="0"/>
          <w:numId w:val="10"/>
        </w:numPr>
        <w:spacing w:after="100" w:afterAutospacing="1"/>
        <w:ind w:left="714" w:hanging="357"/>
      </w:pPr>
      <w:r>
        <w:t>R. RAMBAUD, Droit des élections et des référendums politiques, LGDJ, Précis Domat 2019.</w:t>
      </w:r>
    </w:p>
    <w:p w:rsidR="00D76731" w:rsidRPr="009335D7" w:rsidRDefault="00D76731" w:rsidP="00D76731">
      <w:pPr>
        <w:numPr>
          <w:ilvl w:val="0"/>
          <w:numId w:val="10"/>
        </w:numPr>
        <w:spacing w:after="100" w:afterAutospacing="1"/>
        <w:ind w:left="714" w:hanging="357"/>
      </w:pPr>
      <w:r>
        <w:t xml:space="preserve">R. RAMBAUD, Contentieux des élections municipales : les « lois » de l’écart de voix, AJDA 2020. </w:t>
      </w:r>
      <w:r w:rsidRPr="009335D7">
        <w:t>1596.</w:t>
      </w:r>
      <w:r>
        <w:t> </w:t>
      </w:r>
    </w:p>
    <w:p w:rsidR="00D76731" w:rsidRDefault="00D76731" w:rsidP="00D76731">
      <w:pPr>
        <w:numPr>
          <w:ilvl w:val="0"/>
          <w:numId w:val="10"/>
        </w:numPr>
        <w:spacing w:after="100" w:afterAutospacing="1"/>
        <w:ind w:left="714" w:hanging="357"/>
      </w:pPr>
      <w:r>
        <w:t>Bureau de vote : mode d’emploi (mini format) Jean-Pierre Camby, Dalloz, 2019, 978-2247186907, 114 p.</w:t>
      </w:r>
    </w:p>
    <w:p w:rsidR="00D76731" w:rsidRDefault="00D76731" w:rsidP="00D76731">
      <w:pPr>
        <w:numPr>
          <w:ilvl w:val="0"/>
          <w:numId w:val="10"/>
        </w:numPr>
        <w:spacing w:after="100" w:afterAutospacing="1"/>
        <w:ind w:left="714" w:hanging="357"/>
      </w:pPr>
      <w:r>
        <w:t xml:space="preserve">Droit Electoral, Bernard </w:t>
      </w:r>
      <w:proofErr w:type="spellStart"/>
      <w:r>
        <w:t>Maligner</w:t>
      </w:r>
      <w:proofErr w:type="spellEnd"/>
      <w:r>
        <w:t xml:space="preserve">, </w:t>
      </w:r>
      <w:hyperlink r:id="rId21" w:tooltip="http://www.amazon.fr/Droit-%C3%A9lectoral-Bernard-Maligner/dp/2729834222" w:history="1">
        <w:r>
          <w:rPr>
            <w:rStyle w:val="Lienhypertexte"/>
          </w:rPr>
          <w:t>978-2729834227</w:t>
        </w:r>
      </w:hyperlink>
      <w:r>
        <w:t xml:space="preserve">, Ellipses Marketing 2007, (Cours magistral), 1071 p. </w:t>
      </w:r>
    </w:p>
    <w:p w:rsidR="00D76731" w:rsidRDefault="00D76731" w:rsidP="00D76731">
      <w:pPr>
        <w:numPr>
          <w:ilvl w:val="0"/>
          <w:numId w:val="10"/>
        </w:numPr>
        <w:spacing w:before="100" w:beforeAutospacing="1" w:after="100" w:afterAutospacing="1"/>
      </w:pPr>
      <w:r>
        <w:t xml:space="preserve">Les standards européens du droit électoral dans le constitutionnalisme européen (Science et technique de la démocratie n° 39) (2006), 169 p. ; Auteur(s) : Commission de Venise ; ISBN </w:t>
      </w:r>
      <w:hyperlink r:id="rId22" w:tooltip="http://www.ladocumentationfrancaise.fr/catalogue/9789287159090/" w:history="1">
        <w:r>
          <w:rPr>
            <w:rStyle w:val="Lienhypertexte"/>
          </w:rPr>
          <w:t>978-92-871-5909-0</w:t>
        </w:r>
      </w:hyperlink>
      <w:r>
        <w:t xml:space="preserve"> </w:t>
      </w:r>
      <w:hyperlink r:id="rId23" w:history="1">
        <w:r>
          <w:rPr>
            <w:rStyle w:val="Lienhypertexte"/>
          </w:rPr>
          <w:t>https://book.coe.int/fr/droit-constitutionnel/3610-les-standards-europeens-du-droit-electoral-dans-le-constitutionnalisme-europeen-science-et-technique-de-la-democratie-n-39.html</w:t>
        </w:r>
      </w:hyperlink>
      <w:r>
        <w:t xml:space="preserve"> </w:t>
      </w:r>
    </w:p>
    <w:p w:rsidR="00D76731" w:rsidRDefault="00D76731" w:rsidP="00D76731">
      <w:pPr>
        <w:numPr>
          <w:ilvl w:val="0"/>
          <w:numId w:val="10"/>
        </w:numPr>
        <w:spacing w:before="100" w:beforeAutospacing="1" w:after="100" w:afterAutospacing="1"/>
      </w:pPr>
      <w:r>
        <w:t xml:space="preserve">Droit de suffrage et modes de scrutin, Documents d'études n.1.05 - édition 2008, Pascal Jan, 56 p., </w:t>
      </w:r>
      <w:hyperlink r:id="rId24" w:tooltip="http://www.ladocumentationfrancaise.fr/catalogue/9782110069740/" w:history="1">
        <w:r>
          <w:rPr>
            <w:rStyle w:val="Lienhypertexte"/>
          </w:rPr>
          <w:t>978-2-11-006974-0</w:t>
        </w:r>
      </w:hyperlink>
      <w:r>
        <w:t xml:space="preserve"> </w:t>
      </w:r>
    </w:p>
    <w:p w:rsidR="00FE319D" w:rsidRDefault="00FE319D" w:rsidP="00FE319D">
      <w:pPr>
        <w:pStyle w:val="Paragraphedeliste"/>
        <w:numPr>
          <w:ilvl w:val="0"/>
          <w:numId w:val="10"/>
        </w:numPr>
        <w:spacing w:before="100" w:beforeAutospacing="1" w:after="100" w:afterAutospacing="1"/>
      </w:pPr>
      <w:r>
        <w:rPr>
          <w:noProof/>
          <w:lang w:eastAsia="fr-FR"/>
        </w:rPr>
        <w:drawing>
          <wp:anchor distT="0" distB="0" distL="114300" distR="114300" simplePos="0" relativeHeight="251666432" behindDoc="0" locked="0" layoutInCell="1" allowOverlap="1" wp14:anchorId="2E422653" wp14:editId="3AC51359">
            <wp:simplePos x="0" y="0"/>
            <wp:positionH relativeFrom="column">
              <wp:posOffset>5486400</wp:posOffset>
            </wp:positionH>
            <wp:positionV relativeFrom="paragraph">
              <wp:posOffset>158750</wp:posOffset>
            </wp:positionV>
            <wp:extent cx="1113790" cy="1113790"/>
            <wp:effectExtent l="0" t="0" r="0" b="0"/>
            <wp:wrapSquare wrapText="bothSides"/>
            <wp:docPr id="5" name="Image 3" descr="Détails sur le produ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E319D" w:rsidRPr="001E0D61" w:rsidRDefault="00FE319D" w:rsidP="00FE319D">
      <w:pPr>
        <w:pStyle w:val="Paragraphedeliste"/>
        <w:numPr>
          <w:ilvl w:val="0"/>
          <w:numId w:val="10"/>
        </w:numPr>
      </w:pPr>
      <w:r>
        <w:rPr>
          <w:noProof/>
          <w:lang w:eastAsia="fr-FR"/>
        </w:rPr>
        <w:drawing>
          <wp:anchor distT="0" distB="0" distL="114300" distR="114300" simplePos="0" relativeHeight="251672576" behindDoc="0" locked="0" layoutInCell="1" allowOverlap="1" wp14:anchorId="7466EC2E" wp14:editId="2B7F99B9">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p>
    <w:p w:rsidR="00FE319D" w:rsidRDefault="00FE319D" w:rsidP="00FE319D">
      <w:pPr>
        <w:pStyle w:val="Paragraphedeliste"/>
        <w:numPr>
          <w:ilvl w:val="0"/>
          <w:numId w:val="10"/>
        </w:numPr>
      </w:pPr>
      <w:hyperlink r:id="rId29" w:history="1">
        <w:r w:rsidRPr="001E0D61">
          <w:rPr>
            <w:rStyle w:val="Lienhypertexte"/>
          </w:rPr>
          <w:t>Code électoral 2024 - 30e éd.</w:t>
        </w:r>
      </w:hyperlink>
      <w:r>
        <w:t xml:space="preserve"> Jean-Pierre Camby et </w:t>
      </w:r>
      <w:r>
        <w:rPr>
          <w:rStyle w:val="a-size-small"/>
        </w:rPr>
        <w:t xml:space="preserve">Christelle de </w:t>
      </w:r>
      <w:proofErr w:type="spellStart"/>
      <w:r>
        <w:rPr>
          <w:rStyle w:val="a-size-small"/>
        </w:rPr>
        <w:t>Gaudemont</w:t>
      </w:r>
      <w:proofErr w:type="spellEnd"/>
      <w:r>
        <w:rPr>
          <w:rStyle w:val="a-size-small"/>
        </w:rPr>
        <w:t xml:space="preserve"> (anciennement Bernard </w:t>
      </w:r>
      <w:proofErr w:type="spellStart"/>
      <w:r>
        <w:rPr>
          <w:rStyle w:val="a-size-small"/>
        </w:rPr>
        <w:t>Maligner</w:t>
      </w:r>
      <w:proofErr w:type="spellEnd"/>
      <w:r>
        <w:rPr>
          <w:rStyle w:val="a-size-small"/>
        </w:rPr>
        <w:t>), 72 €</w:t>
      </w:r>
    </w:p>
    <w:p w:rsidR="00FE319D" w:rsidRDefault="00FE319D" w:rsidP="00FE319D">
      <w:pPr>
        <w:pStyle w:val="Paragraphedeliste"/>
        <w:numPr>
          <w:ilvl w:val="0"/>
          <w:numId w:val="10"/>
        </w:numPr>
        <w:spacing w:before="100" w:beforeAutospacing="1" w:after="100" w:afterAutospacing="1"/>
      </w:pPr>
    </w:p>
    <w:p w:rsidR="00FE319D" w:rsidRDefault="00FE319D" w:rsidP="00FE319D">
      <w:pPr>
        <w:pStyle w:val="Paragraphedeliste"/>
        <w:numPr>
          <w:ilvl w:val="0"/>
          <w:numId w:val="10"/>
        </w:numPr>
      </w:pPr>
      <w:hyperlink r:id="rId30" w:history="1">
        <w:r w:rsidRPr="001E0D61">
          <w:rPr>
            <w:rStyle w:val="Lienhypertexte"/>
          </w:rPr>
          <w:t xml:space="preserve">Code électoral Broché – </w:t>
        </w:r>
        <w:r>
          <w:rPr>
            <w:rStyle w:val="Lienhypertexte"/>
          </w:rPr>
          <w:t>15 février</w:t>
        </w:r>
        <w:r w:rsidRPr="001E0D61">
          <w:rPr>
            <w:rStyle w:val="Lienhypertexte"/>
          </w:rPr>
          <w:t xml:space="preserve"> 2022</w:t>
        </w:r>
      </w:hyperlink>
    </w:p>
    <w:p w:rsidR="00FE319D" w:rsidRDefault="00FE319D" w:rsidP="00FE319D">
      <w:pPr>
        <w:pStyle w:val="Paragraphedeliste"/>
        <w:numPr>
          <w:ilvl w:val="0"/>
          <w:numId w:val="10"/>
        </w:numPr>
      </w:pPr>
      <w:r>
        <w:t>Journaux Officiels</w:t>
      </w:r>
    </w:p>
    <w:p w:rsidR="00FE319D" w:rsidRDefault="00FE319D" w:rsidP="00FE319D">
      <w:pPr>
        <w:pStyle w:val="Paragraphedeliste"/>
        <w:numPr>
          <w:ilvl w:val="0"/>
          <w:numId w:val="10"/>
        </w:numPr>
      </w:pPr>
      <w:r>
        <w:t>15 €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FE319D" w:rsidTr="008035E9">
        <w:tc>
          <w:tcPr>
            <w:tcW w:w="4984" w:type="dxa"/>
            <w:shd w:val="clear" w:color="auto" w:fill="auto"/>
          </w:tcPr>
          <w:p w:rsidR="00FE319D" w:rsidRDefault="00FE319D" w:rsidP="008035E9">
            <w:r>
              <w:rPr>
                <w:noProof/>
                <w:lang w:eastAsia="fr-FR"/>
              </w:rPr>
              <w:drawing>
                <wp:anchor distT="0" distB="0" distL="114300" distR="114300" simplePos="0" relativeHeight="251675648" behindDoc="0" locked="0" layoutInCell="1" allowOverlap="1" wp14:anchorId="2FE88699" wp14:editId="06806098">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hyperlink r:id="rId32" w:history="1">
              <w:r w:rsidRPr="001E0D61">
                <w:rPr>
                  <w:rStyle w:val="Lienhypertexte"/>
                </w:rPr>
                <w:t>Code électoral 2024, 30</w:t>
              </w:r>
              <w:r w:rsidRPr="001E0D61">
                <w:rPr>
                  <w:rStyle w:val="Lienhypertexte"/>
                  <w:vertAlign w:val="superscript"/>
                </w:rPr>
                <w:t>e</w:t>
              </w:r>
              <w:r w:rsidRPr="001E0D61">
                <w:rPr>
                  <w:rStyle w:val="Lienhypertexte"/>
                </w:rPr>
                <w:t xml:space="preserve"> éd</w:t>
              </w:r>
            </w:hyperlink>
          </w:p>
          <w:p w:rsidR="00FE319D" w:rsidRDefault="00FE319D" w:rsidP="008035E9">
            <w:r>
              <w:t>12,50 €</w:t>
            </w:r>
          </w:p>
        </w:tc>
        <w:tc>
          <w:tcPr>
            <w:tcW w:w="4979" w:type="dxa"/>
            <w:shd w:val="clear" w:color="auto" w:fill="auto"/>
          </w:tcPr>
          <w:p w:rsidR="00FE319D" w:rsidRDefault="00FE319D" w:rsidP="008035E9">
            <w:r>
              <w:rPr>
                <w:noProof/>
                <w:lang w:eastAsia="fr-FR"/>
              </w:rPr>
              <w:drawing>
                <wp:anchor distT="0" distB="0" distL="114300" distR="114300" simplePos="0" relativeHeight="251674624" behindDoc="0" locked="0" layoutInCell="1" allowOverlap="1" wp14:anchorId="060665DD" wp14:editId="3E7E7D11">
                  <wp:simplePos x="0" y="0"/>
                  <wp:positionH relativeFrom="margin">
                    <wp:align>left</wp:align>
                  </wp:positionH>
                  <wp:positionV relativeFrom="margin">
                    <wp:align>top</wp:align>
                  </wp:positionV>
                  <wp:extent cx="752475" cy="1085850"/>
                  <wp:effectExtent l="0" t="0" r="0" b="0"/>
                  <wp:wrapSquare wrapText="bothSides"/>
                  <wp:docPr id="9" name="Image 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t>Code électoral commenté 2024, 18e éd</w:t>
            </w:r>
          </w:p>
          <w:p w:rsidR="00FE319D" w:rsidRDefault="00FE319D" w:rsidP="008035E9">
            <w:proofErr w:type="gramStart"/>
            <w:r>
              <w:t>de</w:t>
            </w:r>
            <w:proofErr w:type="gramEnd"/>
            <w:r>
              <w:t xml:space="preserve"> Olivier Couvert-</w:t>
            </w:r>
            <w:proofErr w:type="spellStart"/>
            <w:r>
              <w:t>Castéra</w:t>
            </w:r>
            <w:proofErr w:type="spellEnd"/>
          </w:p>
          <w:p w:rsidR="00FE319D" w:rsidRDefault="00FE319D" w:rsidP="008035E9">
            <w:r>
              <w:t>59 €</w:t>
            </w:r>
          </w:p>
          <w:p w:rsidR="00FE319D" w:rsidRDefault="00FE319D" w:rsidP="008035E9"/>
        </w:tc>
      </w:tr>
    </w:tbl>
    <w:p w:rsidR="00FE319D" w:rsidRDefault="00FE319D" w:rsidP="00FE319D">
      <w:pPr>
        <w:pStyle w:val="Paragraphedeliste"/>
        <w:numPr>
          <w:ilvl w:val="0"/>
          <w:numId w:val="10"/>
        </w:numPr>
      </w:pPr>
      <w:hyperlink r:id="rId35" w:history="1">
        <w:r w:rsidRPr="00717562">
          <w:rPr>
            <w:rStyle w:val="Lienhypertexte"/>
          </w:rPr>
          <w:t>https://www.elections.interieur.gouv.fr/</w:t>
        </w:r>
      </w:hyperlink>
      <w:r>
        <w:t xml:space="preserve">  </w:t>
      </w:r>
    </w:p>
    <w:p w:rsidR="00D76731" w:rsidRDefault="00FE319D" w:rsidP="00D76731">
      <w:hyperlink r:id="rId36" w:history="1">
        <w:r w:rsidR="00D76731" w:rsidRPr="00D0418A">
          <w:rPr>
            <w:rStyle w:val="Lienhypertexte"/>
          </w:rPr>
          <w:t>https://www.sciencespo.fr/cevipof/</w:t>
        </w:r>
      </w:hyperlink>
      <w:r w:rsidR="00D76731">
        <w:t xml:space="preserve"> </w:t>
      </w:r>
    </w:p>
    <w:p w:rsidR="004927D8" w:rsidRDefault="00FA6B5A" w:rsidP="00D76731">
      <w:pPr>
        <w:spacing w:after="100" w:afterAutospacing="1"/>
        <w:ind w:left="360"/>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2" w:name="LEGIARTI000006527454"/>
      <w:bookmarkStart w:id="3" w:name="LEGIARTI000006527457"/>
      <w:bookmarkStart w:id="4" w:name="LEGIARTI000019240999"/>
      <w:bookmarkEnd w:id="2"/>
      <w:bookmarkEnd w:id="3"/>
      <w:bookmarkEnd w:id="4"/>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5" w:name="LEGIARTI000006527460"/>
      <w:bookmarkStart w:id="6" w:name="LEGIARTI000006527464"/>
      <w:bookmarkStart w:id="7" w:name="LEGIARTI000006527465"/>
      <w:bookmarkStart w:id="8" w:name="LEGIARTI000006527466"/>
      <w:bookmarkEnd w:id="5"/>
      <w:bookmarkEnd w:id="6"/>
      <w:bookmarkEnd w:id="7"/>
      <w:bookmarkEnd w:id="8"/>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5"/>
      <w:bookmarkEnd w:id="9"/>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0" w:name="LEGIARTI000006527546"/>
      <w:bookmarkStart w:id="11" w:name="LEGIARTI000006527547"/>
      <w:bookmarkStart w:id="12" w:name="LEGIARTI000006527548"/>
      <w:bookmarkEnd w:id="10"/>
      <w:bookmarkEnd w:id="11"/>
      <w:bookmarkEnd w:id="12"/>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7" w:history="1">
        <w:r w:rsidRPr="008E2262">
          <w:rPr>
            <w:rStyle w:val="Lienhypertexte"/>
            <w:sz w:val="22"/>
          </w:rPr>
          <w:t xml:space="preserve">articles 11 </w:t>
        </w:r>
      </w:hyperlink>
      <w:r w:rsidRPr="008E2262">
        <w:rPr>
          <w:sz w:val="22"/>
        </w:rPr>
        <w:t xml:space="preserve">et </w:t>
      </w:r>
      <w:hyperlink r:id="rId38" w:history="1">
        <w:r w:rsidRPr="008E2262">
          <w:rPr>
            <w:rStyle w:val="Lienhypertexte"/>
            <w:sz w:val="22"/>
          </w:rPr>
          <w:t xml:space="preserve">89 </w:t>
        </w:r>
      </w:hyperlink>
      <w:r w:rsidRPr="008E2262">
        <w:rPr>
          <w:sz w:val="22"/>
        </w:rPr>
        <w:t xml:space="preserve">et au </w:t>
      </w:r>
      <w:hyperlink r:id="rId39"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Default="008E2262"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
        <w:t xml:space="preserve">Les électeurs, les candidats, les élus, </w:t>
      </w:r>
      <w:r w:rsidR="006552F4">
        <w:t>les partis politiques, les assemblées d'élus</w:t>
      </w:r>
    </w:p>
    <w:p w:rsidR="00E443C6" w:rsidRDefault="00E443C6">
      <w:r>
        <w:t>Les organisateurs d'élection, les commissions de contrôles, les observateurs, les juges (judiciaires, administratifs, constitutionnels, comptables, internationaux),</w:t>
      </w:r>
    </w:p>
    <w:p w:rsidR="00E443C6" w:rsidRDefault="00E443C6">
      <w:r>
        <w:t>Les mandataires financiers, les experts comptables,</w:t>
      </w:r>
      <w:r w:rsidR="006552F4">
        <w:t xml:space="preserve"> les commissions administratives :</w:t>
      </w:r>
      <w:r>
        <w:t xml:space="preserve"> CNCCFP, HATVP</w:t>
      </w:r>
    </w:p>
    <w:p w:rsidR="00E443C6" w:rsidRDefault="006552F4">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9B3E80" w:rsidRDefault="003B33B8" w:rsidP="0059279C">
      <w:pPr>
        <w:rPr>
          <w:sz w:val="36"/>
          <w:szCs w:val="36"/>
        </w:rPr>
      </w:pPr>
      <w:r>
        <w:rPr>
          <w:sz w:val="36"/>
          <w:szCs w:val="36"/>
        </w:rPr>
        <w:br w:type="page"/>
      </w:r>
    </w:p>
    <w:p w:rsidR="009B3E80" w:rsidRDefault="0059279C" w:rsidP="009B3E80">
      <w:pPr>
        <w:rPr>
          <w:noProof/>
          <w:lang w:eastAsia="fr-FR"/>
        </w:rPr>
      </w:pPr>
      <w:r>
        <w:rPr>
          <w:noProof/>
          <w:sz w:val="36"/>
          <w:szCs w:val="36"/>
          <w:lang w:eastAsia="fr-FR"/>
        </w:rPr>
        <w:lastRenderedPageBreak/>
        <w:drawing>
          <wp:inline distT="0" distB="0" distL="0" distR="0" wp14:anchorId="1A081D3F" wp14:editId="4456C8F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59279C" w:rsidRPr="005C00B7" w:rsidRDefault="00FE319D" w:rsidP="0059279C">
      <w:pPr>
        <w:rPr>
          <w:noProof/>
          <w:sz w:val="20"/>
          <w:lang w:eastAsia="fr-FR"/>
        </w:rPr>
      </w:pPr>
      <w:hyperlink r:id="rId41" w:history="1">
        <w:r w:rsidR="0059279C"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9B3E80" w:rsidRDefault="0059279C" w:rsidP="009B3E80">
      <w:pPr>
        <w:ind w:left="-142"/>
        <w:rPr>
          <w:noProof/>
          <w:lang w:eastAsia="fr-FR"/>
        </w:rPr>
      </w:pPr>
      <w:r>
        <w:rPr>
          <w:noProof/>
          <w:lang w:eastAsia="fr-FR"/>
        </w:rPr>
        <w:drawing>
          <wp:inline distT="0" distB="0" distL="0" distR="0" wp14:anchorId="642DDA6A" wp14:editId="4E20EDAC">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r>
        <w:rPr>
          <w:noProof/>
          <w:lang w:eastAsia="fr-FR"/>
        </w:rPr>
        <w:drawing>
          <wp:inline distT="0" distB="0" distL="0" distR="0" wp14:anchorId="18B39984" wp14:editId="3D15220A">
            <wp:extent cx="6646545" cy="96174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t="36874"/>
                    <a:stretch>
                      <a:fillRect/>
                    </a:stretch>
                  </pic:blipFill>
                  <pic:spPr bwMode="auto">
                    <a:xfrm>
                      <a:off x="0" y="0"/>
                      <a:ext cx="6646545" cy="961749"/>
                    </a:xfrm>
                    <a:prstGeom prst="rect">
                      <a:avLst/>
                    </a:prstGeom>
                    <a:noFill/>
                    <a:ln>
                      <a:noFill/>
                    </a:ln>
                  </pic:spPr>
                </pic:pic>
              </a:graphicData>
            </a:graphic>
          </wp:inline>
        </w:drawing>
      </w:r>
    </w:p>
    <w:p w:rsidR="00FE319D" w:rsidRDefault="009B3E80" w:rsidP="00FE319D">
      <w:pPr>
        <w:pStyle w:val="NormalWeb"/>
        <w:spacing w:before="60" w:beforeAutospacing="0"/>
        <w:ind w:left="714"/>
      </w:pPr>
      <w:r>
        <w:rPr>
          <w:sz w:val="36"/>
          <w:szCs w:val="36"/>
        </w:rPr>
        <w:br w:type="page"/>
      </w:r>
      <w:bookmarkStart w:id="13" w:name="_GoBack"/>
      <w:bookmarkEnd w:id="13"/>
    </w:p>
    <w:p w:rsidR="00B7421E" w:rsidRDefault="00B7421E" w:rsidP="009D4FD7">
      <w:pPr>
        <w:pStyle w:val="NormalWeb"/>
        <w:spacing w:before="60" w:beforeAutospacing="0"/>
        <w:ind w:left="357"/>
      </w:pPr>
      <w:r>
        <w:lastRenderedPageBreak/>
        <w:t>Pour mémoire, plan du Code électoral actuel</w:t>
      </w:r>
      <w:r w:rsidR="00713C82">
        <w:t xml:space="preserve"> (à jour sur </w:t>
      </w:r>
      <w:hyperlink r:id="rId44"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1"/>
  </w:num>
  <w:num w:numId="5">
    <w:abstractNumId w:val="13"/>
  </w:num>
  <w:num w:numId="6">
    <w:abstractNumId w:val="7"/>
  </w:num>
  <w:num w:numId="7">
    <w:abstractNumId w:val="0"/>
  </w:num>
  <w:num w:numId="8">
    <w:abstractNumId w:val="20"/>
  </w:num>
  <w:num w:numId="9">
    <w:abstractNumId w:val="8"/>
  </w:num>
  <w:num w:numId="10">
    <w:abstractNumId w:val="5"/>
  </w:num>
  <w:num w:numId="11">
    <w:abstractNumId w:val="14"/>
  </w:num>
  <w:num w:numId="12">
    <w:abstractNumId w:val="2"/>
  </w:num>
  <w:num w:numId="13">
    <w:abstractNumId w:val="4"/>
  </w:num>
  <w:num w:numId="14">
    <w:abstractNumId w:val="16"/>
  </w:num>
  <w:num w:numId="15">
    <w:abstractNumId w:val="9"/>
  </w:num>
  <w:num w:numId="16">
    <w:abstractNumId w:val="11"/>
  </w:num>
  <w:num w:numId="17">
    <w:abstractNumId w:val="19"/>
  </w:num>
  <w:num w:numId="18">
    <w:abstractNumId w:val="15"/>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15956"/>
    <w:rsid w:val="000366D8"/>
    <w:rsid w:val="00075F91"/>
    <w:rsid w:val="000A635B"/>
    <w:rsid w:val="000E00E0"/>
    <w:rsid w:val="0013084F"/>
    <w:rsid w:val="001375A2"/>
    <w:rsid w:val="00175D9F"/>
    <w:rsid w:val="001C4318"/>
    <w:rsid w:val="00263174"/>
    <w:rsid w:val="002932A8"/>
    <w:rsid w:val="002C7342"/>
    <w:rsid w:val="002D4316"/>
    <w:rsid w:val="00325F68"/>
    <w:rsid w:val="00343840"/>
    <w:rsid w:val="003547B1"/>
    <w:rsid w:val="00377305"/>
    <w:rsid w:val="003A0249"/>
    <w:rsid w:val="003B33B8"/>
    <w:rsid w:val="004120BA"/>
    <w:rsid w:val="004927D8"/>
    <w:rsid w:val="00503619"/>
    <w:rsid w:val="005224E1"/>
    <w:rsid w:val="00532BE7"/>
    <w:rsid w:val="00546F6C"/>
    <w:rsid w:val="0059279C"/>
    <w:rsid w:val="006308B8"/>
    <w:rsid w:val="006552F4"/>
    <w:rsid w:val="00666130"/>
    <w:rsid w:val="00710555"/>
    <w:rsid w:val="00713C82"/>
    <w:rsid w:val="00725DB8"/>
    <w:rsid w:val="00783D7A"/>
    <w:rsid w:val="007C4B14"/>
    <w:rsid w:val="007E5F0E"/>
    <w:rsid w:val="008402E7"/>
    <w:rsid w:val="008E2262"/>
    <w:rsid w:val="008E73AB"/>
    <w:rsid w:val="0098062C"/>
    <w:rsid w:val="009B3E80"/>
    <w:rsid w:val="009C0CAC"/>
    <w:rsid w:val="009D4FD7"/>
    <w:rsid w:val="00B041D4"/>
    <w:rsid w:val="00B46A94"/>
    <w:rsid w:val="00B735C4"/>
    <w:rsid w:val="00B7421E"/>
    <w:rsid w:val="00B976ED"/>
    <w:rsid w:val="00BA3DFE"/>
    <w:rsid w:val="00C30221"/>
    <w:rsid w:val="00C50FCC"/>
    <w:rsid w:val="00C52539"/>
    <w:rsid w:val="00C56185"/>
    <w:rsid w:val="00C9300A"/>
    <w:rsid w:val="00CA28F5"/>
    <w:rsid w:val="00D120C1"/>
    <w:rsid w:val="00D2709A"/>
    <w:rsid w:val="00D31253"/>
    <w:rsid w:val="00D76731"/>
    <w:rsid w:val="00D9375D"/>
    <w:rsid w:val="00DD11E9"/>
    <w:rsid w:val="00DF27FC"/>
    <w:rsid w:val="00E07D46"/>
    <w:rsid w:val="00E443C6"/>
    <w:rsid w:val="00E47A38"/>
    <w:rsid w:val="00E94E2A"/>
    <w:rsid w:val="00EC5FDA"/>
    <w:rsid w:val="00F04399"/>
    <w:rsid w:val="00F04826"/>
    <w:rsid w:val="00F45E98"/>
    <w:rsid w:val="00F55AED"/>
    <w:rsid w:val="00FA0EB3"/>
    <w:rsid w:val="00FA6B5A"/>
    <w:rsid w:val="00FA70E2"/>
    <w:rsid w:val="00FE3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AD580E"/>
  <w15:docId w15:val="{2B78A6D6-4FF4-4548-8FF1-B85F4FAD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character" w:customStyle="1" w:styleId="markedcontent">
    <w:name w:val="markedcontent"/>
    <w:basedOn w:val="Policepardfaut"/>
    <w:rsid w:val="0098062C"/>
  </w:style>
  <w:style w:type="paragraph" w:styleId="Paragraphedeliste">
    <w:name w:val="List Paragraph"/>
    <w:basedOn w:val="Normal"/>
    <w:uiPriority w:val="34"/>
    <w:qFormat/>
    <w:rsid w:val="00FE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oral.fr/?p=239" TargetMode="External"/><Relationship Id="rId18" Type="http://schemas.openxmlformats.org/officeDocument/2006/relationships/hyperlink" Target="https://blogdudroitelectoral.fr/" TargetMode="External"/><Relationship Id="rId26" Type="http://schemas.openxmlformats.org/officeDocument/2006/relationships/image" Target="media/image4.jpeg"/><Relationship Id="rId39"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21" Type="http://schemas.openxmlformats.org/officeDocument/2006/relationships/hyperlink" Target="http://www.amazon.fr/Droit-%C3%A9lectoral-Bernard-Maligner/dp/2729834222" TargetMode="External"/><Relationship Id="rId34" Type="http://schemas.openxmlformats.org/officeDocument/2006/relationships/image" Target="media/image7.png"/><Relationship Id="rId42" Type="http://schemas.openxmlformats.org/officeDocument/2006/relationships/image" Target="media/image9.png"/><Relationship Id="rId7" Type="http://schemas.openxmlformats.org/officeDocument/2006/relationships/hyperlink" Target="mailto:stephane.cottin@conseil-constitutionnel.fr" TargetMode="External"/><Relationship Id="rId2" Type="http://schemas.openxmlformats.org/officeDocument/2006/relationships/styles" Target="styles.xml"/><Relationship Id="rId16" Type="http://schemas.openxmlformats.org/officeDocument/2006/relationships/hyperlink" Target="https://www.legifrance.gouv.fr/circulaire/id/45339" TargetMode="External"/><Relationship Id="rId29" Type="http://schemas.openxmlformats.org/officeDocument/2006/relationships/hyperlink" Target="https://www.librairiedalloz.fr/livre/9782247222643-code-electoral-2024-annote-et-commente-30e-edition-jean-pierre-camby-christelle-de-gaudemont/"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www.electoral.fr/?p=185" TargetMode="External"/><Relationship Id="rId24" Type="http://schemas.openxmlformats.org/officeDocument/2006/relationships/hyperlink" Target="http://www.ladocumentationfrancaise.fr/catalogue/9782110069740/" TargetMode="External"/><Relationship Id="rId32" Type="http://schemas.openxmlformats.org/officeDocument/2006/relationships/hyperlink" Target="https://boutique.berger-levrault.fr/collectivites-locales/ouvrages/les-codes-et-textes-de-references/code-electoral-2024.html" TargetMode="External"/><Relationship Id="rId37"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www.electoral.fr/?page_id=296" TargetMode="External"/><Relationship Id="rId23" Type="http://schemas.openxmlformats.org/officeDocument/2006/relationships/hyperlink" Target="https://book.coe.int/fr/droit-constitutionnel/3610-les-standards-europeens-du-droit-electoral-dans-le-constitutionnalisme-europeen-science-et-technique-de-la-democratie-n-39.html" TargetMode="External"/><Relationship Id="rId28" Type="http://schemas.openxmlformats.org/officeDocument/2006/relationships/image" Target="media/image5.jpeg"/><Relationship Id="rId36" Type="http://schemas.openxmlformats.org/officeDocument/2006/relationships/hyperlink" Target="https://www.sciencespo.fr/cevipof/" TargetMode="External"/><Relationship Id="rId10" Type="http://schemas.openxmlformats.org/officeDocument/2006/relationships/hyperlink" Target="http://www.electoral.fr/?p=212" TargetMode="Externa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hyperlink" Target="http://codes.droit.org/CodV3/electoral.pdf" TargetMode="External"/><Relationship Id="rId4" Type="http://schemas.openxmlformats.org/officeDocument/2006/relationships/webSettings" Target="webSettings.xml"/><Relationship Id="rId9" Type="http://schemas.openxmlformats.org/officeDocument/2006/relationships/hyperlink" Target="http://www.electoral.fr/?p=189" TargetMode="External"/><Relationship Id="rId14" Type="http://schemas.openxmlformats.org/officeDocument/2006/relationships/hyperlink" Target="http://www.electoral.fr/?p=227" TargetMode="External"/><Relationship Id="rId22" Type="http://schemas.openxmlformats.org/officeDocument/2006/relationships/hyperlink" Target="http://www.ladocumentationfrancaise.fr/catalogue/9789287159090/" TargetMode="External"/><Relationship Id="rId27" Type="http://schemas.openxmlformats.org/officeDocument/2006/relationships/hyperlink" Target="http://www.amazon.fr/Code-%C3%A9lectoral-2016-22e-%C3%A9d/dp/2247151523/ref=sr_1_1?ie=UTF8&amp;qid=1445844851&amp;sr=8-1&amp;keywords=code+%C3%A9lectoral" TargetMode="External"/><Relationship Id="rId30" Type="http://schemas.openxmlformats.org/officeDocument/2006/relationships/hyperlink" Target="https://www.vie-publique.fr/catalogue/283184-code-electoral" TargetMode="External"/><Relationship Id="rId35" Type="http://schemas.openxmlformats.org/officeDocument/2006/relationships/hyperlink" Target="https://www.elections.interieur.gouv.fr/" TargetMode="External"/><Relationship Id="rId43" Type="http://schemas.openxmlformats.org/officeDocument/2006/relationships/image" Target="media/image10.png"/><Relationship Id="rId8" Type="http://schemas.openxmlformats.org/officeDocument/2006/relationships/hyperlink" Target="http://www.electoral.fr" TargetMode="External"/><Relationship Id="rId3" Type="http://schemas.openxmlformats.org/officeDocument/2006/relationships/settings" Target="settings.xml"/><Relationship Id="rId12" Type="http://schemas.openxmlformats.org/officeDocument/2006/relationships/hyperlink" Target="http://www.electoral.fr/?p=232" TargetMode="External"/><Relationship Id="rId17" Type="http://schemas.openxmlformats.org/officeDocument/2006/relationships/image" Target="media/image2.png"/><Relationship Id="rId25" Type="http://schemas.openxmlformats.org/officeDocument/2006/relationships/hyperlink" Target="http://www.amazon.fr/Code-%C3%A9lectoral-2015-l%C3%A9gislative-r%C3%A9glementaire/dp/211076998X/ref=sr_1_2?ie=UTF8&amp;qid=1445844851&amp;sr=8-2&amp;keywords=code+%C3%A9lectoral" TargetMode="External"/><Relationship Id="rId33" Type="http://schemas.openxmlformats.org/officeDocument/2006/relationships/hyperlink" Target="https://boutique.berger-levrault.fr/ouvrages/collectivites-locales/les-codes-et-textes-de-reference/code-electoral-commente-2024.html" TargetMode="External"/><Relationship Id="rId38"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6" Type="http://schemas.openxmlformats.org/officeDocument/2006/relationships/theme" Target="theme/theme1.xml"/><Relationship Id="rId20" Type="http://schemas.openxmlformats.org/officeDocument/2006/relationships/hyperlink" Target="https://www.conseil-etat.fr/ressources/etudes-publications/dossiers-thematiques/le-juge-administratif-et-le-droit-electoral" TargetMode="External"/><Relationship Id="rId41" Type="http://schemas.openxmlformats.org/officeDocument/2006/relationships/hyperlink" Target="https://www.performance-publique.budget.gouv.fr/sites/performance_publique/files/farandole/ressources/2019/pap/pdf/PAP2019_BG_Administration_generale_territoriale_Eta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1852</Words>
  <Characters>13852</Characters>
  <Application>Microsoft Office Word</Application>
  <DocSecurity>0</DocSecurity>
  <Lines>115</Lines>
  <Paragraphs>31</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15673</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4</cp:revision>
  <cp:lastPrinted>2016-10-06T17:38:00Z</cp:lastPrinted>
  <dcterms:created xsi:type="dcterms:W3CDTF">2024-02-28T18:28:00Z</dcterms:created>
  <dcterms:modified xsi:type="dcterms:W3CDTF">2024-02-28T18:39:00Z</dcterms:modified>
</cp:coreProperties>
</file>